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78024" w14:textId="77777777" w:rsidR="009120F6" w:rsidRDefault="00942291">
      <w:pPr>
        <w:pBdr>
          <w:top w:val="nil"/>
          <w:left w:val="nil"/>
          <w:bottom w:val="nil"/>
          <w:right w:val="nil"/>
          <w:between w:val="nil"/>
        </w:pBdr>
        <w:tabs>
          <w:tab w:val="center" w:pos="4513"/>
          <w:tab w:val="right" w:pos="9026"/>
        </w:tabs>
        <w:spacing w:before="120" w:after="120"/>
        <w:jc w:val="left"/>
        <w:rPr>
          <w:b/>
          <w:sz w:val="36"/>
          <w:szCs w:val="36"/>
        </w:rPr>
      </w:pPr>
      <w:r>
        <w:rPr>
          <w:b/>
          <w:sz w:val="36"/>
          <w:szCs w:val="36"/>
        </w:rPr>
        <w:t>Joint Schedule 7 (Financial Difficulties)</w:t>
      </w:r>
    </w:p>
    <w:p w14:paraId="65580617" w14:textId="77777777" w:rsidR="009120F6" w:rsidRDefault="009120F6">
      <w:pPr>
        <w:pBdr>
          <w:top w:val="nil"/>
          <w:left w:val="nil"/>
          <w:bottom w:val="nil"/>
          <w:right w:val="nil"/>
          <w:between w:val="nil"/>
        </w:pBdr>
        <w:tabs>
          <w:tab w:val="left" w:pos="1985"/>
        </w:tabs>
        <w:spacing w:before="120" w:after="120"/>
        <w:jc w:val="left"/>
      </w:pPr>
    </w:p>
    <w:p w14:paraId="7CEE95B1" w14:textId="77777777" w:rsidR="009120F6" w:rsidRDefault="00942291">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Definitions</w:t>
      </w:r>
    </w:p>
    <w:p w14:paraId="67F1925F"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r>
        <w:t>In this Schedule, the following definitions shall apply:</w:t>
      </w:r>
    </w:p>
    <w:tbl>
      <w:tblPr>
        <w:tblStyle w:val="a9"/>
        <w:tblW w:w="808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3261"/>
        <w:gridCol w:w="4819"/>
      </w:tblGrid>
      <w:tr w:rsidR="009120F6" w14:paraId="104B59D5" w14:textId="77777777">
        <w:tc>
          <w:tcPr>
            <w:tcW w:w="3261" w:type="dxa"/>
          </w:tcPr>
          <w:p w14:paraId="39893615" w14:textId="77777777" w:rsidR="009120F6" w:rsidRDefault="00942291">
            <w:pPr>
              <w:pBdr>
                <w:top w:val="nil"/>
                <w:left w:val="nil"/>
                <w:bottom w:val="nil"/>
                <w:right w:val="nil"/>
                <w:between w:val="nil"/>
              </w:pBdr>
              <w:tabs>
                <w:tab w:val="left" w:pos="1134"/>
              </w:tabs>
              <w:spacing w:before="120" w:after="120"/>
              <w:jc w:val="left"/>
              <w:rPr>
                <w:b/>
                <w:sz w:val="24"/>
                <w:szCs w:val="24"/>
              </w:rPr>
            </w:pPr>
            <w:r>
              <w:rPr>
                <w:b/>
                <w:sz w:val="24"/>
                <w:szCs w:val="24"/>
              </w:rPr>
              <w:t>“Applicable Financial Indicators”</w:t>
            </w:r>
          </w:p>
        </w:tc>
        <w:tc>
          <w:tcPr>
            <w:tcW w:w="4819" w:type="dxa"/>
          </w:tcPr>
          <w:p w14:paraId="5FEC88DC" w14:textId="77777777" w:rsidR="009120F6" w:rsidRDefault="00942291">
            <w:pPr>
              <w:keepNext/>
              <w:pBdr>
                <w:top w:val="nil"/>
                <w:left w:val="nil"/>
                <w:bottom w:val="nil"/>
                <w:right w:val="nil"/>
                <w:between w:val="nil"/>
              </w:pBdr>
              <w:spacing w:before="120" w:after="120"/>
              <w:jc w:val="left"/>
              <w:rPr>
                <w:smallCaps/>
                <w:sz w:val="24"/>
                <w:szCs w:val="24"/>
              </w:rPr>
            </w:pPr>
            <w:r>
              <w:rPr>
                <w:sz w:val="24"/>
                <w:szCs w:val="24"/>
              </w:rPr>
              <w:t>the financial indicators from Paragraph 5.1</w:t>
            </w:r>
            <w:r>
              <w:rPr>
                <w:smallCaps/>
                <w:sz w:val="24"/>
                <w:szCs w:val="24"/>
              </w:rPr>
              <w:t xml:space="preserve"> </w:t>
            </w:r>
            <w:r>
              <w:rPr>
                <w:sz w:val="24"/>
                <w:szCs w:val="24"/>
              </w:rPr>
              <w:t>of this Schedule which are to apply to the Monitored Suppliers as set out in Paragraph 5.2 of this Schedule;</w:t>
            </w:r>
          </w:p>
        </w:tc>
      </w:tr>
      <w:tr w:rsidR="009120F6" w14:paraId="3014CB32" w14:textId="77777777">
        <w:tc>
          <w:tcPr>
            <w:tcW w:w="3261" w:type="dxa"/>
          </w:tcPr>
          <w:p w14:paraId="35C20829" w14:textId="77777777" w:rsidR="009120F6" w:rsidRDefault="00942291">
            <w:pPr>
              <w:pBdr>
                <w:top w:val="nil"/>
                <w:left w:val="nil"/>
                <w:bottom w:val="nil"/>
                <w:right w:val="nil"/>
                <w:between w:val="nil"/>
              </w:pBdr>
              <w:tabs>
                <w:tab w:val="left" w:pos="1134"/>
              </w:tabs>
              <w:spacing w:before="120" w:after="120"/>
              <w:jc w:val="left"/>
              <w:rPr>
                <w:b/>
                <w:sz w:val="24"/>
                <w:szCs w:val="24"/>
              </w:rPr>
            </w:pPr>
            <w:r>
              <w:rPr>
                <w:b/>
                <w:sz w:val="24"/>
                <w:szCs w:val="24"/>
              </w:rPr>
              <w:t>“Authorised Financial Representative”</w:t>
            </w:r>
          </w:p>
        </w:tc>
        <w:tc>
          <w:tcPr>
            <w:tcW w:w="4819" w:type="dxa"/>
          </w:tcPr>
          <w:p w14:paraId="6FBFE72E" w14:textId="77777777" w:rsidR="009120F6" w:rsidRDefault="00942291">
            <w:pPr>
              <w:keepNext/>
              <w:pBdr>
                <w:top w:val="nil"/>
                <w:left w:val="nil"/>
                <w:bottom w:val="nil"/>
                <w:right w:val="nil"/>
                <w:between w:val="nil"/>
              </w:pBdr>
              <w:spacing w:before="120" w:after="120"/>
              <w:jc w:val="left"/>
              <w:rPr>
                <w:sz w:val="24"/>
                <w:szCs w:val="24"/>
              </w:rPr>
            </w:pPr>
            <w:bookmarkStart w:id="0" w:name="_heading=h.mrt8qieyok1a" w:colFirst="0" w:colLast="0"/>
            <w:bookmarkEnd w:id="0"/>
            <w:r>
              <w:rPr>
                <w:sz w:val="24"/>
                <w:szCs w:val="24"/>
              </w:rPr>
              <w:t>a statutory director of the Supplier or a sufficiently senior member of the Supplier’s management team who has the authority to act on behalf of the Supplier in relation to financial matters;</w:t>
            </w:r>
          </w:p>
        </w:tc>
      </w:tr>
      <w:tr w:rsidR="009120F6" w14:paraId="0F1A5E66" w14:textId="77777777">
        <w:tc>
          <w:tcPr>
            <w:tcW w:w="3261" w:type="dxa"/>
          </w:tcPr>
          <w:p w14:paraId="28C3FDD4" w14:textId="77777777" w:rsidR="009120F6" w:rsidRDefault="00942291">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“Board”</w:t>
            </w:r>
          </w:p>
        </w:tc>
        <w:tc>
          <w:tcPr>
            <w:tcW w:w="4819" w:type="dxa"/>
          </w:tcPr>
          <w:p w14:paraId="01ED7E7E" w14:textId="77777777"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the Supplier’s board of directors;</w:t>
            </w:r>
          </w:p>
        </w:tc>
      </w:tr>
      <w:tr w:rsidR="009120F6" w14:paraId="7CB2A4A9" w14:textId="77777777">
        <w:tc>
          <w:tcPr>
            <w:tcW w:w="3261" w:type="dxa"/>
          </w:tcPr>
          <w:p w14:paraId="01A4327F" w14:textId="77777777" w:rsidR="009120F6" w:rsidRDefault="00942291">
            <w:pPr>
              <w:pBdr>
                <w:top w:val="nil"/>
                <w:left w:val="nil"/>
                <w:bottom w:val="nil"/>
                <w:right w:val="nil"/>
                <w:between w:val="nil"/>
              </w:pBdr>
              <w:tabs>
                <w:tab w:val="left" w:pos="1134"/>
              </w:tabs>
              <w:spacing w:before="120" w:after="120"/>
              <w:jc w:val="left"/>
              <w:rPr>
                <w:b/>
                <w:sz w:val="24"/>
                <w:szCs w:val="24"/>
              </w:rPr>
            </w:pPr>
            <w:r>
              <w:rPr>
                <w:b/>
                <w:sz w:val="24"/>
                <w:szCs w:val="24"/>
              </w:rPr>
              <w:t>“Board Confirmation”</w:t>
            </w:r>
          </w:p>
        </w:tc>
        <w:tc>
          <w:tcPr>
            <w:tcW w:w="4819" w:type="dxa"/>
          </w:tcPr>
          <w:p w14:paraId="1331E88A" w14:textId="77777777"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written confirmation from the Board in accordance with Paragraph 8 of this Schedule;</w:t>
            </w:r>
          </w:p>
        </w:tc>
      </w:tr>
      <w:tr w:rsidR="009120F6" w14:paraId="3B4DAC7E" w14:textId="77777777">
        <w:tc>
          <w:tcPr>
            <w:tcW w:w="3261" w:type="dxa"/>
          </w:tcPr>
          <w:p w14:paraId="6C63EB61" w14:textId="77777777" w:rsidR="009120F6" w:rsidRDefault="00942291">
            <w:pPr>
              <w:pBdr>
                <w:top w:val="nil"/>
                <w:left w:val="nil"/>
                <w:bottom w:val="nil"/>
                <w:right w:val="nil"/>
                <w:between w:val="nil"/>
              </w:pBdr>
              <w:tabs>
                <w:tab w:val="left" w:pos="1134"/>
              </w:tabs>
              <w:spacing w:before="120" w:after="120"/>
              <w:jc w:val="left"/>
              <w:rPr>
                <w:b/>
                <w:sz w:val="24"/>
                <w:szCs w:val="24"/>
              </w:rPr>
            </w:pPr>
            <w:r>
              <w:rPr>
                <w:b/>
                <w:sz w:val="24"/>
                <w:szCs w:val="24"/>
              </w:rPr>
              <w:t>“Cabinet Office Markets and Suppliers Team”</w:t>
            </w:r>
          </w:p>
        </w:tc>
        <w:tc>
          <w:tcPr>
            <w:tcW w:w="4819" w:type="dxa"/>
          </w:tcPr>
          <w:p w14:paraId="5049D3C2" w14:textId="77777777"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the UK Government’s team responsible for managing the relationship between government and its Strategic Suppliers, or any replacement or successor body carrying out the same function;</w:t>
            </w:r>
          </w:p>
        </w:tc>
      </w:tr>
      <w:tr w:rsidR="009120F6" w14:paraId="25B4A850" w14:textId="77777777">
        <w:tc>
          <w:tcPr>
            <w:tcW w:w="3261" w:type="dxa"/>
          </w:tcPr>
          <w:p w14:paraId="2DDF30A5" w14:textId="77777777" w:rsidR="009120F6" w:rsidRDefault="00942291">
            <w:pPr>
              <w:pBdr>
                <w:top w:val="nil"/>
                <w:left w:val="nil"/>
                <w:bottom w:val="nil"/>
                <w:right w:val="nil"/>
                <w:between w:val="nil"/>
              </w:pBdr>
              <w:tabs>
                <w:tab w:val="left" w:pos="1134"/>
              </w:tabs>
              <w:spacing w:before="120" w:after="120"/>
              <w:jc w:val="left"/>
              <w:rPr>
                <w:b/>
                <w:sz w:val="24"/>
                <w:szCs w:val="24"/>
              </w:rPr>
            </w:pPr>
            <w:r>
              <w:rPr>
                <w:b/>
                <w:sz w:val="24"/>
                <w:szCs w:val="24"/>
              </w:rPr>
              <w:t>“Credit Rating Threshold”</w:t>
            </w:r>
          </w:p>
        </w:tc>
        <w:tc>
          <w:tcPr>
            <w:tcW w:w="4819" w:type="dxa"/>
          </w:tcPr>
          <w:p w14:paraId="6659FFBB" w14:textId="77777777"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the minimum credit rating level for each entity in the FDE Group as set out in Annex 1 to this Schedule;</w:t>
            </w:r>
          </w:p>
        </w:tc>
      </w:tr>
      <w:tr w:rsidR="009120F6" w14:paraId="1E696F0E" w14:textId="77777777">
        <w:tc>
          <w:tcPr>
            <w:tcW w:w="3261" w:type="dxa"/>
          </w:tcPr>
          <w:p w14:paraId="1EA9D6D0" w14:textId="77777777" w:rsidR="009120F6" w:rsidRDefault="00942291">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“FDE Group”</w:t>
            </w:r>
          </w:p>
        </w:tc>
        <w:tc>
          <w:tcPr>
            <w:tcW w:w="4819" w:type="dxa"/>
          </w:tcPr>
          <w:p w14:paraId="74A2A38E" w14:textId="60CB2AA2"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 xml:space="preserve">the </w:t>
            </w:r>
            <w:r w:rsidR="00F05873" w:rsidRPr="000152A2">
              <w:t>S</w:t>
            </w:r>
            <w:r w:rsidRPr="000152A2">
              <w:t>upplier, Key Sub-contractors, the Guarantor and the Monitored Suppliers;</w:t>
            </w:r>
          </w:p>
        </w:tc>
      </w:tr>
      <w:tr w:rsidR="009120F6" w14:paraId="0B7524DC" w14:textId="77777777">
        <w:tc>
          <w:tcPr>
            <w:tcW w:w="3261" w:type="dxa"/>
          </w:tcPr>
          <w:p w14:paraId="4DD6384A" w14:textId="77777777" w:rsidR="009120F6" w:rsidRDefault="00942291">
            <w:pPr>
              <w:pBdr>
                <w:top w:val="nil"/>
                <w:left w:val="nil"/>
                <w:bottom w:val="nil"/>
                <w:right w:val="nil"/>
                <w:between w:val="nil"/>
              </w:pBdr>
              <w:tabs>
                <w:tab w:val="left" w:pos="1134"/>
              </w:tabs>
              <w:spacing w:before="120" w:after="120"/>
              <w:jc w:val="left"/>
              <w:rPr>
                <w:b/>
                <w:sz w:val="24"/>
                <w:szCs w:val="24"/>
              </w:rPr>
            </w:pPr>
            <w:r>
              <w:rPr>
                <w:b/>
                <w:sz w:val="24"/>
                <w:szCs w:val="24"/>
              </w:rPr>
              <w:t>“Financial Distress Event”</w:t>
            </w:r>
          </w:p>
        </w:tc>
        <w:tc>
          <w:tcPr>
            <w:tcW w:w="4819" w:type="dxa"/>
          </w:tcPr>
          <w:p w14:paraId="2E3A3E4F" w14:textId="77777777"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any of the events listed in Paragraph 3.1 of this Schedule;</w:t>
            </w:r>
          </w:p>
        </w:tc>
      </w:tr>
      <w:tr w:rsidR="009120F6" w14:paraId="03772C72" w14:textId="77777777">
        <w:tc>
          <w:tcPr>
            <w:tcW w:w="3261" w:type="dxa"/>
          </w:tcPr>
          <w:p w14:paraId="2813BC54" w14:textId="77777777" w:rsidR="009120F6" w:rsidRDefault="00942291">
            <w:pPr>
              <w:pBdr>
                <w:top w:val="nil"/>
                <w:left w:val="nil"/>
                <w:bottom w:val="nil"/>
                <w:right w:val="nil"/>
                <w:between w:val="nil"/>
              </w:pBdr>
              <w:tabs>
                <w:tab w:val="left" w:pos="1134"/>
              </w:tabs>
              <w:spacing w:before="120" w:after="120"/>
              <w:jc w:val="left"/>
              <w:rPr>
                <w:b/>
                <w:sz w:val="24"/>
                <w:szCs w:val="24"/>
              </w:rPr>
            </w:pPr>
            <w:r>
              <w:rPr>
                <w:b/>
                <w:sz w:val="24"/>
                <w:szCs w:val="24"/>
              </w:rPr>
              <w:t>“Financial Distress Remediation Plan”</w:t>
            </w:r>
          </w:p>
        </w:tc>
        <w:tc>
          <w:tcPr>
            <w:tcW w:w="4819" w:type="dxa"/>
          </w:tcPr>
          <w:p w14:paraId="182CA308" w14:textId="77777777"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a plan setting out how the Supplier will ensure the continued performance and delivery of the Deliverables in accordance with the Contract in the event that a Financial Distress Event occurs;</w:t>
            </w:r>
          </w:p>
        </w:tc>
      </w:tr>
      <w:tr w:rsidR="009120F6" w14:paraId="5D265745" w14:textId="77777777">
        <w:tc>
          <w:tcPr>
            <w:tcW w:w="3261" w:type="dxa"/>
          </w:tcPr>
          <w:p w14:paraId="0DF0D048" w14:textId="77777777" w:rsidR="009120F6" w:rsidRDefault="00942291">
            <w:pPr>
              <w:pBdr>
                <w:top w:val="nil"/>
                <w:left w:val="nil"/>
                <w:bottom w:val="nil"/>
                <w:right w:val="nil"/>
                <w:between w:val="nil"/>
              </w:pBdr>
              <w:tabs>
                <w:tab w:val="left" w:pos="1134"/>
              </w:tabs>
              <w:spacing w:before="120" w:after="120"/>
              <w:jc w:val="left"/>
              <w:rPr>
                <w:b/>
                <w:sz w:val="24"/>
                <w:szCs w:val="24"/>
              </w:rPr>
            </w:pPr>
            <w:bookmarkStart w:id="1" w:name="_heading=h.3dy6vkm" w:colFirst="0" w:colLast="0"/>
            <w:bookmarkEnd w:id="1"/>
            <w:r>
              <w:rPr>
                <w:b/>
                <w:sz w:val="24"/>
                <w:szCs w:val="24"/>
              </w:rPr>
              <w:t>“Financial Indicators”</w:t>
            </w:r>
          </w:p>
        </w:tc>
        <w:tc>
          <w:tcPr>
            <w:tcW w:w="4819" w:type="dxa"/>
          </w:tcPr>
          <w:p w14:paraId="6A731CD7" w14:textId="77777777"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 xml:space="preserve">in respect of the Supplier, Key Sub-contractors and the Guarantor, means each of the financial indicators set out at Paragraph 5.1 of this Schedule and in </w:t>
            </w:r>
            <w:r>
              <w:rPr>
                <w:sz w:val="24"/>
                <w:szCs w:val="24"/>
              </w:rPr>
              <w:lastRenderedPageBreak/>
              <w:t>respect of each Monitored Supplier, means those Applicable Financial Indicators;</w:t>
            </w:r>
          </w:p>
        </w:tc>
      </w:tr>
      <w:tr w:rsidR="009120F6" w14:paraId="498965DD" w14:textId="77777777">
        <w:tc>
          <w:tcPr>
            <w:tcW w:w="3261" w:type="dxa"/>
          </w:tcPr>
          <w:p w14:paraId="22EED2E0" w14:textId="77777777" w:rsidR="009120F6" w:rsidRDefault="00942291">
            <w:pPr>
              <w:pBdr>
                <w:top w:val="nil"/>
                <w:left w:val="nil"/>
                <w:bottom w:val="nil"/>
                <w:right w:val="nil"/>
                <w:between w:val="nil"/>
              </w:pBdr>
              <w:tabs>
                <w:tab w:val="left" w:pos="1134"/>
              </w:tabs>
              <w:spacing w:before="120" w:after="120"/>
              <w:jc w:val="left"/>
              <w:rPr>
                <w:b/>
                <w:sz w:val="24"/>
                <w:szCs w:val="24"/>
              </w:rPr>
            </w:pPr>
            <w:r>
              <w:rPr>
                <w:b/>
                <w:sz w:val="24"/>
                <w:szCs w:val="24"/>
              </w:rPr>
              <w:lastRenderedPageBreak/>
              <w:t>“Financial Target Thresholds”</w:t>
            </w:r>
          </w:p>
        </w:tc>
        <w:tc>
          <w:tcPr>
            <w:tcW w:w="4819" w:type="dxa"/>
          </w:tcPr>
          <w:p w14:paraId="3F1CA8ED" w14:textId="77777777"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the target thresholds for each of the Financial Indicators set out at Paragraph 5.1 of this Schedule;</w:t>
            </w:r>
          </w:p>
        </w:tc>
      </w:tr>
      <w:tr w:rsidR="009120F6" w14:paraId="5F036915" w14:textId="77777777">
        <w:tc>
          <w:tcPr>
            <w:tcW w:w="3261" w:type="dxa"/>
          </w:tcPr>
          <w:p w14:paraId="371599FD" w14:textId="77777777" w:rsidR="009120F6" w:rsidRDefault="00942291">
            <w:pPr>
              <w:pBdr>
                <w:top w:val="nil"/>
                <w:left w:val="nil"/>
                <w:bottom w:val="nil"/>
                <w:right w:val="nil"/>
                <w:between w:val="nil"/>
              </w:pBdr>
              <w:tabs>
                <w:tab w:val="left" w:pos="1134"/>
              </w:tabs>
              <w:spacing w:before="120" w:after="120"/>
              <w:jc w:val="left"/>
              <w:rPr>
                <w:b/>
                <w:sz w:val="24"/>
                <w:szCs w:val="24"/>
              </w:rPr>
            </w:pPr>
            <w:r>
              <w:rPr>
                <w:b/>
                <w:sz w:val="24"/>
                <w:szCs w:val="24"/>
              </w:rPr>
              <w:t>“Monitored Suppliers”</w:t>
            </w:r>
          </w:p>
        </w:tc>
        <w:tc>
          <w:tcPr>
            <w:tcW w:w="4819" w:type="dxa"/>
          </w:tcPr>
          <w:p w14:paraId="52C15C6B" w14:textId="77777777"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those entities specified at Paragraph 5.2 of this Schedule;</w:t>
            </w:r>
          </w:p>
        </w:tc>
      </w:tr>
      <w:tr w:rsidR="009120F6" w14:paraId="37AC3C88" w14:textId="77777777">
        <w:tc>
          <w:tcPr>
            <w:tcW w:w="3261" w:type="dxa"/>
          </w:tcPr>
          <w:p w14:paraId="20E34045" w14:textId="77777777" w:rsidR="009120F6" w:rsidRDefault="00942291">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“Rating Agencies”</w:t>
            </w:r>
          </w:p>
        </w:tc>
        <w:tc>
          <w:tcPr>
            <w:tcW w:w="4819" w:type="dxa"/>
          </w:tcPr>
          <w:p w14:paraId="49255149" w14:textId="77777777"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the rating agencies listed in Annex 1 of this Schedule; and</w:t>
            </w:r>
          </w:p>
        </w:tc>
      </w:tr>
      <w:tr w:rsidR="009120F6" w14:paraId="4C2FCE63" w14:textId="77777777">
        <w:tc>
          <w:tcPr>
            <w:tcW w:w="3261" w:type="dxa"/>
          </w:tcPr>
          <w:p w14:paraId="659AED2B" w14:textId="77777777" w:rsidR="009120F6" w:rsidRDefault="00942291">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“Strategic Supplier”</w:t>
            </w:r>
          </w:p>
        </w:tc>
        <w:tc>
          <w:tcPr>
            <w:tcW w:w="4819" w:type="dxa"/>
          </w:tcPr>
          <w:p w14:paraId="03897A91" w14:textId="77777777" w:rsidR="009120F6" w:rsidRDefault="00942291">
            <w:pPr>
              <w:pBdr>
                <w:top w:val="nil"/>
                <w:left w:val="nil"/>
                <w:bottom w:val="nil"/>
                <w:right w:val="nil"/>
                <w:between w:val="nil"/>
              </w:pBdr>
              <w:tabs>
                <w:tab w:val="left" w:pos="1134"/>
              </w:tabs>
              <w:spacing w:before="120" w:after="120"/>
              <w:jc w:val="left"/>
              <w:rPr>
                <w:sz w:val="24"/>
                <w:szCs w:val="24"/>
              </w:rPr>
            </w:pPr>
            <w:r>
              <w:rPr>
                <w:sz w:val="24"/>
                <w:szCs w:val="24"/>
              </w:rPr>
              <w:t xml:space="preserve">those suppliers to government listed at </w:t>
            </w:r>
            <w:hyperlink r:id="rId8">
              <w:r>
                <w:rPr>
                  <w:sz w:val="24"/>
                  <w:szCs w:val="24"/>
                </w:rPr>
                <w:t>https://www.gov.uk/government/publications/strategic-suppliers</w:t>
              </w:r>
            </w:hyperlink>
            <w:r>
              <w:rPr>
                <w:sz w:val="24"/>
                <w:szCs w:val="24"/>
              </w:rPr>
              <w:t>.</w:t>
            </w:r>
          </w:p>
        </w:tc>
      </w:tr>
    </w:tbl>
    <w:p w14:paraId="610D9144"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r>
        <w:t>The Parties shall comply with the provisions of this Schedule in relation to the assessment of the financial standing of the FDE Group and the consequences of a change to that financial standing.</w:t>
      </w:r>
    </w:p>
    <w:p w14:paraId="608ACDB8"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r>
        <w:t>The terms of this Schedule shall survive: </w:t>
      </w:r>
    </w:p>
    <w:p w14:paraId="4802FAE3"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355FB7A6"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under the Call-Off Contract until the termination or expiry of the Call-Off Contract.</w:t>
      </w:r>
    </w:p>
    <w:p w14:paraId="34152556" w14:textId="77777777" w:rsidR="009120F6" w:rsidRDefault="00942291">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2" w:name="_heading=h.59jehabrs462" w:colFirst="0" w:colLast="0"/>
      <w:bookmarkEnd w:id="2"/>
      <w:r>
        <w:rPr>
          <w:b/>
        </w:rPr>
        <w:t>Warranties and duty to notify</w:t>
      </w:r>
    </w:p>
    <w:p w14:paraId="2A461967"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r>
        <w:t>The Supplier warrants and represents to the Relevant Authority for the benefit of the Relevant Authority that as at the Effective Date:</w:t>
      </w:r>
    </w:p>
    <w:p w14:paraId="5E4950FE"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 xml:space="preserve">the </w:t>
      </w:r>
      <w:proofErr w:type="gramStart"/>
      <w:r>
        <w:t>long term</w:t>
      </w:r>
      <w:proofErr w:type="gramEnd"/>
      <w:r>
        <w:t xml:space="preserve"> credit ratings issued for each entity in the FDE Group by each of the Rating Agencies are as set out in Annex 2 to this Schedule; and</w:t>
      </w:r>
    </w:p>
    <w:p w14:paraId="3DB5128A"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the financial position or, as appropriate, the financial performance of each of the Supplier, Guarantor and Key Sub-contractors satisfies the Financial Target Thresholds.</w:t>
      </w:r>
    </w:p>
    <w:p w14:paraId="6695120B"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7FE22EFF"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r>
        <w:t>The Supplier shall:</w:t>
      </w:r>
    </w:p>
    <w:p w14:paraId="2331E845"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regularly monitor the credit ratings of each entity in the FDE Group with the Rating Agencies;</w:t>
      </w:r>
    </w:p>
    <w:p w14:paraId="4CA86DD1"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bookmarkStart w:id="3" w:name="_heading=h.46hq87jb4orb" w:colFirst="0" w:colLast="0"/>
      <w:bookmarkEnd w:id="3"/>
      <w:r>
        <w:lastRenderedPageBreak/>
        <w:t>monitor and report on the Financial Indicators for each entity in the FDE Group against the Financial Target Thresholds at least at the frequency set out for each at Paragraph 5.1 (where specified) and in any event, on a regular basis and no less than once a year within one hundred and twenty (120) days after the Accounting Reference Date; and</w:t>
      </w:r>
    </w:p>
    <w:p w14:paraId="7489C117"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bookmarkStart w:id="4" w:name="_heading=h.vyfl7itnyklk" w:colFirst="0" w:colLast="0"/>
      <w:bookmarkEnd w:id="4"/>
      <w: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63C18B36"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r>
        <w:t>For the purposes of determining whether a Financial Distress Event has occurred pursuant to the provisions of Paragraph 3.1.1, and for the purposes of determining relief under Paragraph 7.1, the credit rating of an FDE Group entity shall be deemed to have dropped below the applicable Credit Rating Threshold if:</w:t>
      </w:r>
    </w:p>
    <w:p w14:paraId="13067A33"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rPr>
          <w:color w:val="000000"/>
        </w:rPr>
      </w:pPr>
      <w:r>
        <w:rPr>
          <w:color w:val="000000"/>
        </w:rPr>
        <w:t>any of the Rating Agencies have rated that entity at or below the applicable Credit Rating Threshold; or</w:t>
      </w:r>
    </w:p>
    <w:p w14:paraId="7A8AB95C"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rPr>
          <w:color w:val="000000"/>
        </w:rPr>
      </w:pPr>
      <w:r>
        <w:rPr>
          <w:color w:val="000000"/>
        </w:rPr>
        <w:t>a Rating Agency that is specified as holding a Credit Rating for an entity as set out at Annex 2 of this Schedule ceases to hold a Credit Rating for that entity.</w:t>
      </w:r>
    </w:p>
    <w:p w14:paraId="36F5FF86"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r>
        <w:t>Each report submitted by the Supplier pursuant to Paragraph 2.3.2 shall:</w:t>
      </w:r>
    </w:p>
    <w:p w14:paraId="16589053"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be a single report with separate sections for each of the FDE Group entities;</w:t>
      </w:r>
    </w:p>
    <w:p w14:paraId="5EA56F0E"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contain a sufficient level of information to enable the Relevant Authority to verify the calculations that have been made in respect of the Financial Indicators;</w:t>
      </w:r>
    </w:p>
    <w:p w14:paraId="0BA2610D"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include key financial and other supporting information (including any accounts data that has been relied on) as separate annexes;</w:t>
      </w:r>
    </w:p>
    <w:p w14:paraId="6F71F7F3"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2422961"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include a history of the Financial Indicators reported by the Supplier in graph form to enable the Relevant Authority to easily analyse and assess the trends in financial performance.</w:t>
      </w:r>
    </w:p>
    <w:p w14:paraId="3F3A2AB5" w14:textId="77777777" w:rsidR="009120F6" w:rsidRDefault="00942291">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Financial Distress events</w:t>
      </w:r>
    </w:p>
    <w:p w14:paraId="35852BA3"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bookmarkStart w:id="5" w:name="_heading=h.ehnayj7rpp95" w:colFirst="0" w:colLast="0"/>
      <w:bookmarkEnd w:id="5"/>
      <w:r>
        <w:t>The following shall be Financial Distress Events:</w:t>
      </w:r>
    </w:p>
    <w:p w14:paraId="50E7DA70"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bookmarkStart w:id="6" w:name="_heading=h.mul23r1rldn5" w:colFirst="0" w:colLast="0"/>
      <w:bookmarkEnd w:id="6"/>
      <w:r>
        <w:t>the credit rating of an FDE Group entity dropping below the applicable Credit Rating Threshold;</w:t>
      </w:r>
    </w:p>
    <w:p w14:paraId="69B3ECCD"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bookmarkStart w:id="7" w:name="_heading=h.60zbqm48nmyb" w:colFirst="0" w:colLast="0"/>
      <w:bookmarkEnd w:id="7"/>
      <w:r>
        <w:lastRenderedPageBreak/>
        <w:t>an FDE Group entity issuing a profits warning to a stock exchange or making any other public announcement, in each case about a material deterioration in its financial position or prospects;</w:t>
      </w:r>
    </w:p>
    <w:p w14:paraId="369066D0"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there being a public investigation into improper financial accounting and reporting, suspected fraud or any other impropriety of an FDE Group entity;</w:t>
      </w:r>
    </w:p>
    <w:p w14:paraId="5CC51A71"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an FDE Group entity committing a material breach of covenant to its lenders;</w:t>
      </w:r>
    </w:p>
    <w:p w14:paraId="10945BF0"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bookmarkStart w:id="8" w:name="_heading=h.er0l30voazgo" w:colFirst="0" w:colLast="0"/>
      <w:bookmarkEnd w:id="8"/>
      <w:r>
        <w:t>a Key Sub-contractor notifying CCS or the Buyer that the Supplier has not satisfied any material sums properly due under a specified invoice and not subject to a genuine dispute;</w:t>
      </w:r>
    </w:p>
    <w:p w14:paraId="2697B578"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any FDE Group entity extends the filing period for filing its accounts with the Registrar of Companies so that the filing period ends more than 9 months after its accounting reference date without an explanation to the Relevant Authority which the Relevant Authority (acting reasonably) considers to be adequate;</w:t>
      </w:r>
    </w:p>
    <w:p w14:paraId="251987AD"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bookmarkStart w:id="9" w:name="_heading=h.6hkrm8mw3mzd" w:colFirst="0" w:colLast="0"/>
      <w:bookmarkEnd w:id="9"/>
      <w:r>
        <w:t>any FDE Group entity is late to file its annual accounts without a public notification or an explanation to the Relevant Authority which the Relevant Authority, acting reasonably, considers to be adequate;</w:t>
      </w:r>
    </w:p>
    <w:p w14:paraId="5F76AB79"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the directors and/or external auditors of any FDE Group entity conclude that a material uncertainty exists in relation to that FDE Group entity’s going concern in the annual report including in a reasonable but plausible downside scenario. This includes, but is not limited to, commentary about liquidity and trading prospects in the reports from directors or external auditors;</w:t>
      </w:r>
    </w:p>
    <w:p w14:paraId="669D2090"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any of the following:</w:t>
      </w:r>
    </w:p>
    <w:p w14:paraId="34F72BD3" w14:textId="77777777" w:rsidR="009120F6" w:rsidRDefault="00942291">
      <w:pPr>
        <w:numPr>
          <w:ilvl w:val="3"/>
          <w:numId w:val="2"/>
        </w:numPr>
        <w:pBdr>
          <w:top w:val="nil"/>
          <w:left w:val="nil"/>
          <w:bottom w:val="nil"/>
          <w:right w:val="nil"/>
          <w:between w:val="nil"/>
        </w:pBdr>
        <w:tabs>
          <w:tab w:val="left" w:pos="1985"/>
        </w:tabs>
        <w:spacing w:before="120" w:after="120"/>
        <w:ind w:hanging="861"/>
        <w:rPr>
          <w:color w:val="000000"/>
        </w:rPr>
      </w:pPr>
      <w:r>
        <w:rPr>
          <w:color w:val="000000"/>
        </w:rPr>
        <w:t>any FDE Group entity makes a public announcement which contains adverse commentary with regards to that FDE Group entity’s liquidity and trading and trading prospects, such as but not limited to, a profit warning or ability to trade as a going concern;</w:t>
      </w:r>
    </w:p>
    <w:p w14:paraId="09590CA1" w14:textId="77777777" w:rsidR="009120F6" w:rsidRDefault="00942291">
      <w:pPr>
        <w:numPr>
          <w:ilvl w:val="3"/>
          <w:numId w:val="2"/>
        </w:numPr>
        <w:pBdr>
          <w:top w:val="nil"/>
          <w:left w:val="nil"/>
          <w:bottom w:val="nil"/>
          <w:right w:val="nil"/>
          <w:between w:val="nil"/>
        </w:pBdr>
        <w:tabs>
          <w:tab w:val="left" w:pos="1985"/>
        </w:tabs>
        <w:spacing w:before="120" w:after="120"/>
        <w:ind w:hanging="861"/>
      </w:pPr>
      <w:r>
        <w:t xml:space="preserve">commencement of any litigation against an FDE Group entity with respect to financial indebtedness greater than £5m or obligations under a service contract with a total contract value greater than £5m; </w:t>
      </w:r>
    </w:p>
    <w:p w14:paraId="38464133" w14:textId="77777777" w:rsidR="009120F6" w:rsidRDefault="00942291">
      <w:pPr>
        <w:numPr>
          <w:ilvl w:val="3"/>
          <w:numId w:val="2"/>
        </w:numPr>
        <w:pBdr>
          <w:top w:val="nil"/>
          <w:left w:val="nil"/>
          <w:bottom w:val="nil"/>
          <w:right w:val="nil"/>
          <w:between w:val="nil"/>
        </w:pBdr>
        <w:tabs>
          <w:tab w:val="left" w:pos="1985"/>
        </w:tabs>
        <w:spacing w:before="120" w:after="120"/>
        <w:ind w:hanging="861"/>
      </w:pPr>
      <w:r>
        <w:t>non-payment by an FDE Group entity of any financial indebtedness;</w:t>
      </w:r>
    </w:p>
    <w:p w14:paraId="7A400AA7" w14:textId="77777777" w:rsidR="009120F6" w:rsidRDefault="00942291">
      <w:pPr>
        <w:numPr>
          <w:ilvl w:val="3"/>
          <w:numId w:val="2"/>
        </w:numPr>
        <w:pBdr>
          <w:top w:val="nil"/>
          <w:left w:val="nil"/>
          <w:bottom w:val="nil"/>
          <w:right w:val="nil"/>
          <w:between w:val="nil"/>
        </w:pBdr>
        <w:tabs>
          <w:tab w:val="left" w:pos="1985"/>
        </w:tabs>
        <w:spacing w:before="120" w:after="120"/>
        <w:ind w:hanging="861"/>
      </w:pPr>
      <w:r>
        <w:t>any financial indebtedness of an FDE Group entity becoming due as a result of an event of default;</w:t>
      </w:r>
    </w:p>
    <w:p w14:paraId="05E5B3AA" w14:textId="77777777" w:rsidR="009120F6" w:rsidRDefault="00942291">
      <w:pPr>
        <w:numPr>
          <w:ilvl w:val="3"/>
          <w:numId w:val="2"/>
        </w:numPr>
        <w:pBdr>
          <w:top w:val="nil"/>
          <w:left w:val="nil"/>
          <w:bottom w:val="nil"/>
          <w:right w:val="nil"/>
          <w:between w:val="nil"/>
        </w:pBdr>
        <w:tabs>
          <w:tab w:val="left" w:pos="1985"/>
        </w:tabs>
        <w:spacing w:before="120" w:after="120"/>
        <w:ind w:hanging="861"/>
      </w:pPr>
      <w:r>
        <w:t>the cancellation or suspension of any financial indebtedness in respect of an FDE Group entity; or</w:t>
      </w:r>
    </w:p>
    <w:p w14:paraId="582A3222" w14:textId="77777777" w:rsidR="009120F6" w:rsidRDefault="00942291">
      <w:pPr>
        <w:numPr>
          <w:ilvl w:val="3"/>
          <w:numId w:val="2"/>
        </w:numPr>
        <w:pBdr>
          <w:top w:val="nil"/>
          <w:left w:val="nil"/>
          <w:bottom w:val="nil"/>
          <w:right w:val="nil"/>
          <w:between w:val="nil"/>
        </w:pBdr>
        <w:tabs>
          <w:tab w:val="left" w:pos="1985"/>
        </w:tabs>
        <w:spacing w:before="120" w:after="120"/>
        <w:ind w:hanging="861"/>
      </w:pPr>
      <w:r>
        <w:lastRenderedPageBreak/>
        <w:t>the external auditor of an FDE Group entity expressing a qualified opinion on, or including an emphasis of matter in, its opinion on the statutory accounts of that FDE entity;</w:t>
      </w:r>
    </w:p>
    <w:p w14:paraId="65D23716" w14:textId="77777777" w:rsidR="009120F6" w:rsidRDefault="00942291">
      <w:pPr>
        <w:pBdr>
          <w:top w:val="nil"/>
          <w:left w:val="nil"/>
          <w:bottom w:val="nil"/>
          <w:right w:val="nil"/>
          <w:between w:val="nil"/>
        </w:pBdr>
        <w:tabs>
          <w:tab w:val="left" w:pos="1985"/>
        </w:tabs>
        <w:spacing w:before="120" w:after="120"/>
        <w:ind w:left="1985"/>
      </w:pPr>
      <w:r>
        <w:t>in each case which the Relevant Authority reasonably believes (or would be likely reasonably to believe) could directly impact on the continued performance and delivery of the Deliverables in accordance with the Contract; and</w:t>
      </w:r>
    </w:p>
    <w:p w14:paraId="4C98470B"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rPr>
          <w:b/>
        </w:rPr>
      </w:pPr>
      <w:r>
        <w:t>any of the Financial Indicators set out at Paragraph 5 for any of the FDE Group entities failing to meet the required Financial Target Threshold.</w:t>
      </w:r>
    </w:p>
    <w:p w14:paraId="08EA5B19" w14:textId="77777777" w:rsidR="009120F6" w:rsidRDefault="00942291">
      <w:pPr>
        <w:keepNext/>
        <w:numPr>
          <w:ilvl w:val="0"/>
          <w:numId w:val="2"/>
        </w:numPr>
        <w:pBdr>
          <w:top w:val="nil"/>
          <w:left w:val="nil"/>
          <w:bottom w:val="nil"/>
          <w:right w:val="nil"/>
          <w:between w:val="nil"/>
        </w:pBdr>
        <w:tabs>
          <w:tab w:val="left" w:pos="426"/>
        </w:tabs>
        <w:spacing w:before="120" w:after="120"/>
        <w:ind w:left="426" w:hanging="426"/>
        <w:jc w:val="left"/>
        <w:rPr>
          <w:b/>
          <w:smallCaps/>
        </w:rPr>
      </w:pPr>
      <w:r>
        <w:rPr>
          <w:b/>
        </w:rPr>
        <w:t>Consequences of Financial Distress Events</w:t>
      </w:r>
    </w:p>
    <w:p w14:paraId="21B5895A"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bookmarkStart w:id="10" w:name="_heading=h.ucx3mntpsuge" w:colFirst="0" w:colLast="0"/>
      <w:bookmarkEnd w:id="10"/>
      <w: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4C630F2C"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r>
        <w:t>In the event of a late or non-payment of a Key Sub-contractor pursuant to Paragraph 3.1.5, the Relevant Authority shall not exercise any of its rights or remedies under Paragraph 4.3 without first giving the Supplier 10 Working Days to:</w:t>
      </w:r>
    </w:p>
    <w:p w14:paraId="0F49DDC9"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rectify such late or non-payment; or</w:t>
      </w:r>
    </w:p>
    <w:p w14:paraId="1FCE107C"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demonstrate to the Relevant Authority’s reasonable satisfaction that there is a valid reason for late or non-payment.</w:t>
      </w:r>
    </w:p>
    <w:p w14:paraId="3F5B1BD2" w14:textId="77777777" w:rsidR="009120F6" w:rsidRDefault="00942291">
      <w:pPr>
        <w:numPr>
          <w:ilvl w:val="1"/>
          <w:numId w:val="2"/>
        </w:numPr>
        <w:pBdr>
          <w:top w:val="nil"/>
          <w:left w:val="nil"/>
          <w:bottom w:val="nil"/>
          <w:right w:val="nil"/>
          <w:between w:val="nil"/>
        </w:pBdr>
        <w:tabs>
          <w:tab w:val="left" w:pos="1276"/>
        </w:tabs>
        <w:spacing w:before="120" w:after="120"/>
        <w:ind w:left="1134" w:hanging="708"/>
        <w:jc w:val="left"/>
      </w:pPr>
      <w:bookmarkStart w:id="11" w:name="_heading=h.jh7syhclc1y" w:colFirst="0" w:colLast="0"/>
      <w:bookmarkEnd w:id="11"/>
      <w:r>
        <w:t>The Supplier shall (and shall procure that any Monitored Supplier, the Guarantor and/or any relevant Key Sub-contractor shall):</w:t>
      </w:r>
    </w:p>
    <w:p w14:paraId="254718AA"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bookmarkStart w:id="12" w:name="_heading=h.i2nlqr52y99u" w:colFirst="0" w:colLast="0"/>
      <w:bookmarkEnd w:id="12"/>
      <w: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3389EF46"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14:paraId="4DAD2F23" w14:textId="77777777" w:rsidR="009120F6" w:rsidRDefault="00942291">
      <w:pPr>
        <w:numPr>
          <w:ilvl w:val="3"/>
          <w:numId w:val="2"/>
        </w:numPr>
        <w:pBdr>
          <w:top w:val="nil"/>
          <w:left w:val="nil"/>
          <w:bottom w:val="nil"/>
          <w:right w:val="nil"/>
          <w:between w:val="nil"/>
        </w:pBdr>
        <w:tabs>
          <w:tab w:val="left" w:pos="2835"/>
        </w:tabs>
        <w:spacing w:before="120" w:after="120"/>
        <w:ind w:left="2835" w:hanging="850"/>
      </w:pPr>
      <w: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07F64256" w14:textId="77777777" w:rsidR="009120F6" w:rsidRDefault="00942291">
      <w:pPr>
        <w:numPr>
          <w:ilvl w:val="3"/>
          <w:numId w:val="2"/>
        </w:numPr>
        <w:pBdr>
          <w:top w:val="nil"/>
          <w:left w:val="nil"/>
          <w:bottom w:val="nil"/>
          <w:right w:val="nil"/>
          <w:between w:val="nil"/>
        </w:pBdr>
        <w:tabs>
          <w:tab w:val="left" w:pos="2835"/>
        </w:tabs>
        <w:spacing w:before="120" w:after="120"/>
        <w:ind w:left="2835" w:hanging="850"/>
      </w:pPr>
      <w:bookmarkStart w:id="13" w:name="_heading=h.tdtlpkxhmjyc" w:colFirst="0" w:colLast="0"/>
      <w:bookmarkEnd w:id="13"/>
      <w:r>
        <w:lastRenderedPageBreak/>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0D5B90F2"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bookmarkStart w:id="14" w:name="_heading=h.m7wibk1gsces" w:colFirst="0" w:colLast="0"/>
      <w:bookmarkEnd w:id="14"/>
      <w: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38 </w:t>
      </w:r>
      <w:r>
        <w:rPr>
          <w:i/>
        </w:rPr>
        <w:t>(Resolving disputes)</w:t>
      </w:r>
      <w:r>
        <w:t xml:space="preserve"> of the General Terms under Paragraph 4.5.</w:t>
      </w:r>
    </w:p>
    <w:p w14:paraId="0CD45422"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bookmarkStart w:id="15" w:name="_heading=h.23au3qyhtgg3" w:colFirst="0" w:colLast="0"/>
      <w:bookmarkEnd w:id="15"/>
      <w: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38 </w:t>
      </w:r>
      <w:r>
        <w:rPr>
          <w:i/>
        </w:rPr>
        <w:t>(Resolving disputes)</w:t>
      </w:r>
      <w:r>
        <w:t xml:space="preserve"> of the General Terms.</w:t>
      </w:r>
    </w:p>
    <w:p w14:paraId="48AC4304"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bookmarkStart w:id="16" w:name="_heading=h.9uahn95nx526" w:colFirst="0" w:colLast="0"/>
      <w:bookmarkEnd w:id="16"/>
      <w:r>
        <w:t>Following approval of the Financial Distress Remediation Plan by the Relevant Authority, the Supplier shall:</w:t>
      </w:r>
    </w:p>
    <w:p w14:paraId="1393BFCE"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bookmarkStart w:id="17" w:name="_heading=h.4mxlj6pmnf9l" w:colFirst="0" w:colLast="0"/>
      <w:bookmarkEnd w:id="17"/>
      <w:r>
        <w:t>on a regular basis (which shall not be less than fortnightly):</w:t>
      </w:r>
    </w:p>
    <w:p w14:paraId="26320307" w14:textId="77777777" w:rsidR="009120F6" w:rsidRDefault="00942291">
      <w:pPr>
        <w:numPr>
          <w:ilvl w:val="3"/>
          <w:numId w:val="2"/>
        </w:numPr>
        <w:pBdr>
          <w:top w:val="nil"/>
          <w:left w:val="nil"/>
          <w:bottom w:val="nil"/>
          <w:right w:val="nil"/>
          <w:between w:val="nil"/>
        </w:pBdr>
        <w:tabs>
          <w:tab w:val="left" w:pos="1985"/>
        </w:tabs>
        <w:spacing w:before="120" w:after="120"/>
        <w:ind w:left="2835" w:hanging="850"/>
      </w:pPr>
      <w: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the Contract; and</w:t>
      </w:r>
    </w:p>
    <w:p w14:paraId="67AAD811" w14:textId="77777777" w:rsidR="009120F6" w:rsidRDefault="00942291">
      <w:pPr>
        <w:numPr>
          <w:ilvl w:val="3"/>
          <w:numId w:val="2"/>
        </w:numPr>
        <w:pBdr>
          <w:top w:val="nil"/>
          <w:left w:val="nil"/>
          <w:bottom w:val="nil"/>
          <w:right w:val="nil"/>
          <w:between w:val="nil"/>
        </w:pBdr>
        <w:tabs>
          <w:tab w:val="left" w:pos="1985"/>
        </w:tabs>
        <w:spacing w:before="120" w:after="120"/>
        <w:ind w:left="2835" w:hanging="850"/>
      </w:pPr>
      <w: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14:paraId="202FEAAE"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 xml:space="preserve">where updates are made to the Financial Distress Remediation Plan in accordance with Paragraph 4.6.1, submit an updated Financial Distress Remediation Plan to the Relevant Authority for </w:t>
      </w:r>
      <w:r>
        <w:lastRenderedPageBreak/>
        <w:t>its approval, and the provisions of Paragraphs 4.4 and 4.5 shall apply to the review and approval process for the updated Financial Distress Remediation Plan; and</w:t>
      </w:r>
    </w:p>
    <w:p w14:paraId="694ADB44"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bookmarkStart w:id="18" w:name="_heading=h.905oh51ytxtb" w:colFirst="0" w:colLast="0"/>
      <w:bookmarkEnd w:id="18"/>
      <w:r>
        <w:t>comply with the Financial Distress Remediation Plan (including any updated Financial Distress Remediation Plan) and ensure that it achieves the financial and performance requirements set out in the Financial Distress Remediation Plan.</w:t>
      </w:r>
    </w:p>
    <w:p w14:paraId="77CAB989" w14:textId="77777777" w:rsidR="009120F6" w:rsidRDefault="00942291">
      <w:pPr>
        <w:numPr>
          <w:ilvl w:val="1"/>
          <w:numId w:val="2"/>
        </w:numPr>
        <w:pBdr>
          <w:top w:val="nil"/>
          <w:left w:val="nil"/>
          <w:bottom w:val="nil"/>
          <w:right w:val="nil"/>
          <w:between w:val="nil"/>
        </w:pBdr>
        <w:tabs>
          <w:tab w:val="left" w:pos="1276"/>
        </w:tabs>
        <w:spacing w:before="120" w:after="120"/>
        <w:ind w:left="1134" w:hanging="708"/>
        <w:jc w:val="left"/>
      </w:pPr>
      <w: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373CA3F2" w14:textId="77777777" w:rsidR="009120F6" w:rsidRDefault="00942291">
      <w:pPr>
        <w:numPr>
          <w:ilvl w:val="1"/>
          <w:numId w:val="2"/>
        </w:numPr>
        <w:pBdr>
          <w:top w:val="nil"/>
          <w:left w:val="nil"/>
          <w:bottom w:val="nil"/>
          <w:right w:val="nil"/>
          <w:between w:val="nil"/>
        </w:pBdr>
        <w:tabs>
          <w:tab w:val="left" w:pos="1276"/>
        </w:tabs>
        <w:spacing w:before="120" w:after="120"/>
        <w:ind w:left="1134" w:hanging="708"/>
        <w:jc w:val="left"/>
      </w:pPr>
      <w:bookmarkStart w:id="19" w:name="_heading=h.vjfrvgsyrnus" w:colFirst="0" w:colLast="0"/>
      <w:bookmarkEnd w:id="19"/>
      <w: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2C6A5966"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obtaining in advance written authority from Key Sub-contractors, the Guarantor and/or Monitored Suppliers authorising the disclosure of the information to the Buyer and/or entering into confidentiality agreements which permit disclosure;</w:t>
      </w:r>
    </w:p>
    <w:p w14:paraId="06F479C5"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agreeing in advance with the Relevant Authority, Key Sub-contractors, the Guarantor and/or Monitored Suppliers a form of confidentiality agreement to be entered by the relevant parties to enable the disclosure of the information to the Relevant Authority;</w:t>
      </w:r>
    </w:p>
    <w:p w14:paraId="6BF03AA1"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7A0617F0"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disclosing the information to the fullest extent that it is lawfully entitled to do so, including through the use of redaction, anonymisation and any other techniques to permit disclosure of the information without breaching a duty of confidentiality.</w:t>
      </w:r>
    </w:p>
    <w:p w14:paraId="56D1504A" w14:textId="77777777" w:rsidR="009120F6" w:rsidRDefault="00942291">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20" w:name="_heading=h.nxnx5rulbsvm" w:colFirst="0" w:colLast="0"/>
      <w:bookmarkEnd w:id="20"/>
      <w:r>
        <w:rPr>
          <w:b/>
        </w:rPr>
        <w:t>Financial Indicators</w:t>
      </w:r>
    </w:p>
    <w:p w14:paraId="66ED5C52" w14:textId="4A60AFDF"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bookmarkStart w:id="21" w:name="_heading=h.pajabl48cuw9" w:colFirst="0" w:colLast="0"/>
      <w:bookmarkEnd w:id="21"/>
      <w: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14:paraId="7A47CD22" w14:textId="7F88B429" w:rsidR="008C112E" w:rsidRDefault="008C112E" w:rsidP="008C112E">
      <w:pPr>
        <w:pBdr>
          <w:top w:val="nil"/>
          <w:left w:val="nil"/>
          <w:bottom w:val="nil"/>
          <w:right w:val="nil"/>
          <w:between w:val="nil"/>
        </w:pBdr>
        <w:tabs>
          <w:tab w:val="left" w:pos="1134"/>
        </w:tabs>
        <w:spacing w:before="120" w:after="120"/>
        <w:ind w:left="1134"/>
        <w:jc w:val="left"/>
      </w:pPr>
    </w:p>
    <w:p w14:paraId="3A747C6F" w14:textId="3EC5ADF7" w:rsidR="008C112E" w:rsidRDefault="008C112E" w:rsidP="008C112E">
      <w:pPr>
        <w:pBdr>
          <w:top w:val="nil"/>
          <w:left w:val="nil"/>
          <w:bottom w:val="nil"/>
          <w:right w:val="nil"/>
          <w:between w:val="nil"/>
        </w:pBdr>
        <w:tabs>
          <w:tab w:val="left" w:pos="1134"/>
        </w:tabs>
        <w:spacing w:before="120" w:after="120"/>
        <w:ind w:left="1134"/>
        <w:jc w:val="left"/>
      </w:pPr>
    </w:p>
    <w:p w14:paraId="40AFA171" w14:textId="77777777" w:rsidR="008C112E" w:rsidRDefault="008C112E" w:rsidP="008C112E">
      <w:pPr>
        <w:pBdr>
          <w:top w:val="nil"/>
          <w:left w:val="nil"/>
          <w:bottom w:val="nil"/>
          <w:right w:val="nil"/>
          <w:between w:val="nil"/>
        </w:pBdr>
        <w:tabs>
          <w:tab w:val="left" w:pos="1134"/>
        </w:tabs>
        <w:spacing w:before="120" w:after="120"/>
        <w:ind w:left="1134"/>
        <w:jc w:val="left"/>
      </w:pPr>
    </w:p>
    <w:tbl>
      <w:tblPr>
        <w:tblStyle w:val="a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9120F6" w14:paraId="0CE6A212" w14:textId="77777777">
        <w:tc>
          <w:tcPr>
            <w:tcW w:w="2253" w:type="dxa"/>
            <w:shd w:val="clear" w:color="auto" w:fill="D9D9D9"/>
            <w:vAlign w:val="center"/>
          </w:tcPr>
          <w:p w14:paraId="3AFB9BC4" w14:textId="77777777" w:rsidR="009120F6" w:rsidRDefault="00942291">
            <w:pPr>
              <w:pBdr>
                <w:top w:val="nil"/>
                <w:left w:val="nil"/>
                <w:bottom w:val="nil"/>
                <w:right w:val="nil"/>
                <w:between w:val="nil"/>
              </w:pBdr>
              <w:spacing w:before="120" w:after="120"/>
              <w:jc w:val="center"/>
              <w:rPr>
                <w:b/>
                <w:color w:val="000000"/>
                <w:sz w:val="24"/>
                <w:szCs w:val="24"/>
              </w:rPr>
            </w:pPr>
            <w:r>
              <w:rPr>
                <w:b/>
                <w:color w:val="000000"/>
                <w:sz w:val="24"/>
                <w:szCs w:val="24"/>
              </w:rPr>
              <w:lastRenderedPageBreak/>
              <w:t>Financial Indicator</w:t>
            </w:r>
          </w:p>
        </w:tc>
        <w:tc>
          <w:tcPr>
            <w:tcW w:w="1977" w:type="dxa"/>
            <w:shd w:val="clear" w:color="auto" w:fill="D9D9D9"/>
            <w:vAlign w:val="center"/>
          </w:tcPr>
          <w:p w14:paraId="61939035" w14:textId="77777777" w:rsidR="009120F6" w:rsidRDefault="00942291">
            <w:pPr>
              <w:pBdr>
                <w:top w:val="nil"/>
                <w:left w:val="nil"/>
                <w:bottom w:val="nil"/>
                <w:right w:val="nil"/>
                <w:between w:val="nil"/>
              </w:pBdr>
              <w:spacing w:before="120" w:after="120"/>
              <w:jc w:val="center"/>
              <w:rPr>
                <w:b/>
                <w:color w:val="000000"/>
                <w:sz w:val="24"/>
                <w:szCs w:val="24"/>
              </w:rPr>
            </w:pPr>
            <w:r>
              <w:rPr>
                <w:b/>
                <w:color w:val="000000"/>
                <w:sz w:val="24"/>
                <w:szCs w:val="24"/>
              </w:rPr>
              <w:t>Calculation</w:t>
            </w:r>
            <w:r>
              <w:rPr>
                <w:b/>
                <w:color w:val="000000"/>
                <w:sz w:val="24"/>
                <w:szCs w:val="24"/>
                <w:vertAlign w:val="superscript"/>
              </w:rPr>
              <w:t>1</w:t>
            </w:r>
          </w:p>
        </w:tc>
        <w:tc>
          <w:tcPr>
            <w:tcW w:w="1697" w:type="dxa"/>
            <w:shd w:val="clear" w:color="auto" w:fill="D9D9D9"/>
            <w:vAlign w:val="center"/>
          </w:tcPr>
          <w:p w14:paraId="75103192" w14:textId="77777777" w:rsidR="009120F6" w:rsidRDefault="00942291">
            <w:pPr>
              <w:pBdr>
                <w:top w:val="nil"/>
                <w:left w:val="nil"/>
                <w:bottom w:val="nil"/>
                <w:right w:val="nil"/>
                <w:between w:val="nil"/>
              </w:pBdr>
              <w:spacing w:before="120" w:after="120"/>
              <w:jc w:val="center"/>
              <w:rPr>
                <w:b/>
                <w:color w:val="000000"/>
                <w:sz w:val="24"/>
                <w:szCs w:val="24"/>
              </w:rPr>
            </w:pPr>
            <w:r>
              <w:rPr>
                <w:b/>
                <w:color w:val="000000"/>
                <w:sz w:val="24"/>
                <w:szCs w:val="24"/>
              </w:rPr>
              <w:t>Financial Target Threshold:</w:t>
            </w:r>
          </w:p>
        </w:tc>
        <w:tc>
          <w:tcPr>
            <w:tcW w:w="3089" w:type="dxa"/>
            <w:shd w:val="clear" w:color="auto" w:fill="D9D9D9"/>
            <w:vAlign w:val="center"/>
          </w:tcPr>
          <w:p w14:paraId="094A9299" w14:textId="77777777" w:rsidR="009120F6" w:rsidRDefault="00942291">
            <w:pPr>
              <w:pBdr>
                <w:top w:val="nil"/>
                <w:left w:val="nil"/>
                <w:bottom w:val="nil"/>
                <w:right w:val="nil"/>
                <w:between w:val="nil"/>
              </w:pBdr>
              <w:spacing w:before="120" w:after="120"/>
              <w:jc w:val="center"/>
              <w:rPr>
                <w:b/>
                <w:color w:val="000000"/>
                <w:sz w:val="24"/>
                <w:szCs w:val="24"/>
                <w:shd w:val="clear" w:color="auto" w:fill="D9D9D9"/>
              </w:rPr>
            </w:pPr>
            <w:bookmarkStart w:id="22" w:name="_heading=h.1ci93xb" w:colFirst="0" w:colLast="0"/>
            <w:bookmarkEnd w:id="22"/>
            <w:r>
              <w:rPr>
                <w:b/>
                <w:color w:val="000000"/>
                <w:sz w:val="24"/>
                <w:szCs w:val="24"/>
              </w:rPr>
              <w:t>Monitoring and Reporting Fre</w:t>
            </w:r>
            <w:r>
              <w:rPr>
                <w:b/>
                <w:color w:val="000000"/>
                <w:sz w:val="24"/>
                <w:szCs w:val="24"/>
                <w:shd w:val="clear" w:color="auto" w:fill="D9D9D9"/>
              </w:rPr>
              <w:t xml:space="preserve">quency </w:t>
            </w:r>
            <w:r w:rsidRPr="00295263">
              <w:rPr>
                <w:b/>
                <w:color w:val="000000"/>
                <w:shd w:val="clear" w:color="auto" w:fill="D9D9D9"/>
              </w:rPr>
              <w:t>[if different from the default position set out in Paragraph 2.3.2)]</w:t>
            </w:r>
          </w:p>
        </w:tc>
      </w:tr>
      <w:tr w:rsidR="009120F6" w14:paraId="451331C1" w14:textId="77777777">
        <w:tc>
          <w:tcPr>
            <w:tcW w:w="2253" w:type="dxa"/>
            <w:vAlign w:val="center"/>
          </w:tcPr>
          <w:p w14:paraId="06E43FA5" w14:textId="77777777"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1</w:t>
            </w:r>
          </w:p>
          <w:p w14:paraId="7D6A4BC5" w14:textId="58E5434C"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Operating Margin</w:t>
            </w:r>
          </w:p>
          <w:p w14:paraId="71E9B28F" w14:textId="77777777" w:rsidR="009120F6" w:rsidRDefault="009120F6">
            <w:pPr>
              <w:pBdr>
                <w:top w:val="nil"/>
                <w:left w:val="nil"/>
                <w:bottom w:val="nil"/>
                <w:right w:val="nil"/>
                <w:between w:val="nil"/>
              </w:pBdr>
              <w:spacing w:before="120" w:after="120"/>
              <w:jc w:val="left"/>
              <w:rPr>
                <w:b/>
                <w:color w:val="000000"/>
                <w:sz w:val="24"/>
                <w:szCs w:val="24"/>
                <w:highlight w:val="white"/>
              </w:rPr>
            </w:pPr>
          </w:p>
        </w:tc>
        <w:tc>
          <w:tcPr>
            <w:tcW w:w="1977" w:type="dxa"/>
            <w:vAlign w:val="center"/>
          </w:tcPr>
          <w:p w14:paraId="2D740AAA" w14:textId="4C5B1D7B"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Operating Margin = Operating Profit / Revenue</w:t>
            </w:r>
          </w:p>
        </w:tc>
        <w:tc>
          <w:tcPr>
            <w:tcW w:w="1697" w:type="dxa"/>
            <w:vAlign w:val="center"/>
          </w:tcPr>
          <w:p w14:paraId="57C9F931" w14:textId="77777777"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 xml:space="preserve">&lt; </w:t>
            </w:r>
            <w:r>
              <w:rPr>
                <w:i/>
                <w:sz w:val="24"/>
                <w:szCs w:val="24"/>
                <w:highlight w:val="white"/>
              </w:rPr>
              <w:t>3</w:t>
            </w:r>
            <w:r>
              <w:rPr>
                <w:i/>
                <w:color w:val="000000"/>
                <w:sz w:val="24"/>
                <w:szCs w:val="24"/>
                <w:highlight w:val="white"/>
              </w:rPr>
              <w:t>%</w:t>
            </w:r>
          </w:p>
        </w:tc>
        <w:tc>
          <w:tcPr>
            <w:tcW w:w="3089" w:type="dxa"/>
            <w:vAlign w:val="center"/>
          </w:tcPr>
          <w:p w14:paraId="7A69BA0B" w14:textId="5FADEC90" w:rsidR="009120F6" w:rsidRDefault="00942291" w:rsidP="000152A2">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Tested and reported</w:t>
            </w:r>
            <w:r w:rsidRPr="008C112E">
              <w:rPr>
                <w:i/>
                <w:color w:val="000000"/>
                <w:sz w:val="24"/>
                <w:szCs w:val="24"/>
              </w:rPr>
              <w:t xml:space="preserve"> </w:t>
            </w:r>
            <w:r w:rsidRPr="008C112E">
              <w:rPr>
                <w:color w:val="000000"/>
                <w:sz w:val="24"/>
                <w:szCs w:val="24"/>
              </w:rPr>
              <w:t>yearly in arrears within 120</w:t>
            </w:r>
            <w:r w:rsidR="000152A2" w:rsidRPr="008C112E">
              <w:rPr>
                <w:i/>
                <w:color w:val="000000"/>
              </w:rPr>
              <w:t xml:space="preserve"> </w:t>
            </w:r>
            <w:r>
              <w:rPr>
                <w:i/>
                <w:color w:val="000000"/>
                <w:sz w:val="24"/>
                <w:szCs w:val="24"/>
                <w:highlight w:val="white"/>
              </w:rPr>
              <w:t>days of each accounting reference date based upon figures for the 12 months ending on the relevant accounting reference date</w:t>
            </w:r>
          </w:p>
        </w:tc>
      </w:tr>
      <w:tr w:rsidR="009120F6" w14:paraId="7B2F0F39" w14:textId="77777777">
        <w:tc>
          <w:tcPr>
            <w:tcW w:w="2253" w:type="dxa"/>
            <w:vAlign w:val="center"/>
          </w:tcPr>
          <w:p w14:paraId="0C689966" w14:textId="77777777"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2</w:t>
            </w:r>
          </w:p>
          <w:p w14:paraId="23D1A131" w14:textId="03C28640"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Net Debt to EBITDA Ratio</w:t>
            </w:r>
          </w:p>
        </w:tc>
        <w:tc>
          <w:tcPr>
            <w:tcW w:w="1977" w:type="dxa"/>
            <w:vAlign w:val="center"/>
          </w:tcPr>
          <w:p w14:paraId="3C21A50D" w14:textId="6B34FE8A"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Net Debt to EBITDA ratio = Net Debt / EBITDA</w:t>
            </w:r>
          </w:p>
        </w:tc>
        <w:tc>
          <w:tcPr>
            <w:tcW w:w="1697" w:type="dxa"/>
            <w:vAlign w:val="center"/>
          </w:tcPr>
          <w:p w14:paraId="71C5ABCD" w14:textId="77777777"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 xml:space="preserve">&gt; </w:t>
            </w:r>
            <w:r>
              <w:rPr>
                <w:i/>
                <w:sz w:val="24"/>
                <w:szCs w:val="24"/>
                <w:highlight w:val="white"/>
              </w:rPr>
              <w:t>3.5</w:t>
            </w:r>
            <w:r>
              <w:rPr>
                <w:i/>
                <w:color w:val="000000"/>
                <w:sz w:val="24"/>
                <w:szCs w:val="24"/>
                <w:highlight w:val="white"/>
              </w:rPr>
              <w:t>%</w:t>
            </w:r>
          </w:p>
          <w:p w14:paraId="475CCDA2" w14:textId="77777777" w:rsidR="009120F6" w:rsidRDefault="009120F6">
            <w:pPr>
              <w:pBdr>
                <w:top w:val="nil"/>
                <w:left w:val="nil"/>
                <w:bottom w:val="nil"/>
                <w:right w:val="nil"/>
                <w:between w:val="nil"/>
              </w:pBdr>
              <w:spacing w:before="120" w:after="120"/>
              <w:jc w:val="center"/>
              <w:rPr>
                <w:i/>
                <w:color w:val="000000"/>
                <w:sz w:val="24"/>
                <w:szCs w:val="24"/>
                <w:highlight w:val="white"/>
              </w:rPr>
            </w:pPr>
          </w:p>
        </w:tc>
        <w:tc>
          <w:tcPr>
            <w:tcW w:w="3089" w:type="dxa"/>
            <w:vAlign w:val="center"/>
          </w:tcPr>
          <w:p w14:paraId="4E49AAEC" w14:textId="25522C7D"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 xml:space="preserve">Tested and </w:t>
            </w:r>
            <w:r w:rsidRPr="008C112E">
              <w:rPr>
                <w:color w:val="000000"/>
                <w:sz w:val="24"/>
                <w:szCs w:val="24"/>
                <w:highlight w:val="white"/>
              </w:rPr>
              <w:t xml:space="preserve">reported </w:t>
            </w:r>
            <w:r w:rsidRPr="008C112E">
              <w:rPr>
                <w:color w:val="000000"/>
                <w:sz w:val="24"/>
                <w:szCs w:val="24"/>
              </w:rPr>
              <w:t>yearly in arrears within 120</w:t>
            </w:r>
            <w:r w:rsidR="008C112E" w:rsidRPr="008C112E">
              <w:rPr>
                <w:color w:val="000000"/>
                <w:sz w:val="24"/>
                <w:szCs w:val="24"/>
              </w:rPr>
              <w:t xml:space="preserve"> </w:t>
            </w:r>
            <w:r w:rsidRPr="008C112E">
              <w:rPr>
                <w:color w:val="000000"/>
                <w:sz w:val="24"/>
                <w:szCs w:val="24"/>
              </w:rPr>
              <w:t>days</w:t>
            </w:r>
            <w:r w:rsidRPr="008C112E">
              <w:rPr>
                <w:i/>
                <w:color w:val="000000"/>
                <w:sz w:val="24"/>
                <w:szCs w:val="24"/>
              </w:rPr>
              <w:t xml:space="preserve"> </w:t>
            </w:r>
            <w:r>
              <w:rPr>
                <w:i/>
                <w:color w:val="000000"/>
                <w:sz w:val="24"/>
                <w:szCs w:val="24"/>
                <w:highlight w:val="white"/>
              </w:rPr>
              <w:t xml:space="preserve">of each accounting reference </w:t>
            </w:r>
            <w:proofErr w:type="gramStart"/>
            <w:r>
              <w:rPr>
                <w:i/>
                <w:color w:val="000000"/>
                <w:sz w:val="24"/>
                <w:szCs w:val="24"/>
                <w:highlight w:val="white"/>
              </w:rPr>
              <w:t>date  based</w:t>
            </w:r>
            <w:proofErr w:type="gramEnd"/>
            <w:r>
              <w:rPr>
                <w:i/>
                <w:color w:val="000000"/>
                <w:sz w:val="24"/>
                <w:szCs w:val="24"/>
                <w:highlight w:val="white"/>
              </w:rPr>
              <w:t xml:space="preserve"> upon EBITDA for the 12 months ending on, and Net Debt at, the relevant accounting reference date</w:t>
            </w:r>
          </w:p>
        </w:tc>
      </w:tr>
      <w:tr w:rsidR="009120F6" w14:paraId="249D9B9C" w14:textId="77777777">
        <w:tc>
          <w:tcPr>
            <w:tcW w:w="2253" w:type="dxa"/>
            <w:vAlign w:val="center"/>
          </w:tcPr>
          <w:p w14:paraId="576808B3" w14:textId="77777777"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3</w:t>
            </w:r>
          </w:p>
          <w:p w14:paraId="4D2292C5" w14:textId="2AF97603"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Net Debt + Net Pension Deficit to EBITDA ratio</w:t>
            </w:r>
          </w:p>
        </w:tc>
        <w:tc>
          <w:tcPr>
            <w:tcW w:w="1977" w:type="dxa"/>
            <w:vAlign w:val="center"/>
          </w:tcPr>
          <w:p w14:paraId="42655DF1" w14:textId="60FFF9AC"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Net Debt + Net Pension Deficit to EBITDA Ratio = (Net Debt + Net Pension Deficit) / EBITDA</w:t>
            </w:r>
          </w:p>
        </w:tc>
        <w:tc>
          <w:tcPr>
            <w:tcW w:w="1697" w:type="dxa"/>
            <w:vAlign w:val="center"/>
          </w:tcPr>
          <w:p w14:paraId="45D1C03D" w14:textId="77777777" w:rsidR="009120F6" w:rsidRDefault="00942291">
            <w:pPr>
              <w:pBdr>
                <w:top w:val="nil"/>
                <w:left w:val="nil"/>
                <w:bottom w:val="nil"/>
                <w:right w:val="nil"/>
                <w:between w:val="nil"/>
              </w:pBdr>
              <w:spacing w:before="120" w:after="120"/>
              <w:jc w:val="center"/>
              <w:rPr>
                <w:i/>
                <w:color w:val="000000"/>
                <w:sz w:val="24"/>
                <w:szCs w:val="24"/>
                <w:highlight w:val="white"/>
              </w:rPr>
            </w:pPr>
            <w:r>
              <w:rPr>
                <w:i/>
                <w:sz w:val="24"/>
                <w:szCs w:val="24"/>
                <w:highlight w:val="white"/>
              </w:rPr>
              <w:t>&gt;</w:t>
            </w:r>
            <w:r>
              <w:rPr>
                <w:i/>
                <w:color w:val="000000"/>
                <w:sz w:val="24"/>
                <w:szCs w:val="24"/>
                <w:highlight w:val="white"/>
              </w:rPr>
              <w:t xml:space="preserve"> </w:t>
            </w:r>
            <w:r>
              <w:rPr>
                <w:i/>
                <w:sz w:val="24"/>
                <w:szCs w:val="24"/>
                <w:highlight w:val="white"/>
              </w:rPr>
              <w:t>5</w:t>
            </w:r>
            <w:r>
              <w:rPr>
                <w:i/>
                <w:color w:val="000000"/>
                <w:sz w:val="24"/>
                <w:szCs w:val="24"/>
                <w:highlight w:val="white"/>
              </w:rPr>
              <w:t xml:space="preserve"> times</w:t>
            </w:r>
          </w:p>
        </w:tc>
        <w:tc>
          <w:tcPr>
            <w:tcW w:w="3089" w:type="dxa"/>
            <w:vAlign w:val="center"/>
          </w:tcPr>
          <w:p w14:paraId="1AC8CE43" w14:textId="77777777"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Tested and reported yearly in arrears within 90 days of each accounting reference date based upon EBITDA for the 12 months ending on, and the Net Debt and Net Pension Deficit at, the relevant accounting reference date</w:t>
            </w:r>
          </w:p>
        </w:tc>
      </w:tr>
      <w:tr w:rsidR="009120F6" w14:paraId="1F5357B9" w14:textId="77777777">
        <w:tc>
          <w:tcPr>
            <w:tcW w:w="2253" w:type="dxa"/>
            <w:vAlign w:val="center"/>
          </w:tcPr>
          <w:p w14:paraId="4D677D26" w14:textId="77777777"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4</w:t>
            </w:r>
          </w:p>
          <w:p w14:paraId="1638ED9A" w14:textId="5728D517"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Net Interest Paid Cover</w:t>
            </w:r>
          </w:p>
        </w:tc>
        <w:tc>
          <w:tcPr>
            <w:tcW w:w="1977" w:type="dxa"/>
            <w:vAlign w:val="center"/>
          </w:tcPr>
          <w:p w14:paraId="20FFFBC6" w14:textId="1BEDC960"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Net Interest Paid Cover = Earnings Before Interest and Tax / Net Interest Paid</w:t>
            </w:r>
          </w:p>
        </w:tc>
        <w:tc>
          <w:tcPr>
            <w:tcW w:w="1697" w:type="dxa"/>
            <w:vAlign w:val="center"/>
          </w:tcPr>
          <w:p w14:paraId="176A91B4" w14:textId="77777777" w:rsidR="009120F6" w:rsidRDefault="00942291">
            <w:pPr>
              <w:pBdr>
                <w:top w:val="nil"/>
                <w:left w:val="nil"/>
                <w:bottom w:val="nil"/>
                <w:right w:val="nil"/>
                <w:between w:val="nil"/>
              </w:pBdr>
              <w:spacing w:before="120" w:after="120"/>
              <w:jc w:val="center"/>
              <w:rPr>
                <w:i/>
                <w:color w:val="000000"/>
                <w:sz w:val="24"/>
                <w:szCs w:val="24"/>
                <w:highlight w:val="white"/>
              </w:rPr>
            </w:pPr>
            <w:r>
              <w:rPr>
                <w:i/>
                <w:sz w:val="24"/>
                <w:szCs w:val="24"/>
                <w:highlight w:val="white"/>
              </w:rPr>
              <w:t>&lt; 3</w:t>
            </w:r>
            <w:r>
              <w:rPr>
                <w:i/>
                <w:color w:val="000000"/>
                <w:sz w:val="24"/>
                <w:szCs w:val="24"/>
                <w:highlight w:val="white"/>
              </w:rPr>
              <w:t xml:space="preserve"> times</w:t>
            </w:r>
          </w:p>
        </w:tc>
        <w:tc>
          <w:tcPr>
            <w:tcW w:w="3089" w:type="dxa"/>
            <w:vAlign w:val="center"/>
          </w:tcPr>
          <w:p w14:paraId="6E6477C3" w14:textId="189600BD"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 xml:space="preserve">Tested and </w:t>
            </w:r>
            <w:r w:rsidRPr="008C112E">
              <w:rPr>
                <w:color w:val="000000"/>
                <w:sz w:val="24"/>
                <w:szCs w:val="24"/>
                <w:highlight w:val="white"/>
              </w:rPr>
              <w:t xml:space="preserve">reported </w:t>
            </w:r>
            <w:r w:rsidRPr="008C112E">
              <w:rPr>
                <w:color w:val="000000"/>
                <w:sz w:val="24"/>
                <w:szCs w:val="24"/>
              </w:rPr>
              <w:t xml:space="preserve">yearly in arrears within 120 </w:t>
            </w:r>
            <w:r w:rsidRPr="008C112E">
              <w:rPr>
                <w:color w:val="000000"/>
                <w:sz w:val="24"/>
                <w:szCs w:val="24"/>
                <w:highlight w:val="white"/>
              </w:rPr>
              <w:t>days of each accounting</w:t>
            </w:r>
            <w:r>
              <w:rPr>
                <w:i/>
                <w:color w:val="000000"/>
                <w:sz w:val="24"/>
                <w:szCs w:val="24"/>
                <w:highlight w:val="white"/>
              </w:rPr>
              <w:t xml:space="preserve"> reference date based upon figures for the 12 months ending on the relevant accounting reference date</w:t>
            </w:r>
          </w:p>
        </w:tc>
      </w:tr>
      <w:tr w:rsidR="009120F6" w14:paraId="262E4E24" w14:textId="77777777">
        <w:tc>
          <w:tcPr>
            <w:tcW w:w="2253" w:type="dxa"/>
            <w:vAlign w:val="center"/>
          </w:tcPr>
          <w:p w14:paraId="5B590CA0" w14:textId="77777777"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5</w:t>
            </w:r>
          </w:p>
          <w:p w14:paraId="02464DB7" w14:textId="225BC8EB"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Acid Ratio</w:t>
            </w:r>
          </w:p>
        </w:tc>
        <w:tc>
          <w:tcPr>
            <w:tcW w:w="1977" w:type="dxa"/>
            <w:vAlign w:val="center"/>
          </w:tcPr>
          <w:p w14:paraId="5E20150F" w14:textId="6F9DD6F6"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Acid Ratio = (Current Assets – Inventories) / Current Liabilities</w:t>
            </w:r>
          </w:p>
        </w:tc>
        <w:tc>
          <w:tcPr>
            <w:tcW w:w="1697" w:type="dxa"/>
            <w:vAlign w:val="center"/>
          </w:tcPr>
          <w:p w14:paraId="0FD4C768" w14:textId="77777777" w:rsidR="009120F6" w:rsidRDefault="00942291">
            <w:pPr>
              <w:pBdr>
                <w:top w:val="nil"/>
                <w:left w:val="nil"/>
                <w:bottom w:val="nil"/>
                <w:right w:val="nil"/>
                <w:between w:val="nil"/>
              </w:pBdr>
              <w:spacing w:before="120" w:after="120"/>
              <w:jc w:val="center"/>
              <w:rPr>
                <w:i/>
                <w:color w:val="000000"/>
                <w:sz w:val="24"/>
                <w:szCs w:val="24"/>
                <w:highlight w:val="white"/>
              </w:rPr>
            </w:pPr>
            <w:r>
              <w:rPr>
                <w:i/>
                <w:sz w:val="24"/>
                <w:szCs w:val="24"/>
                <w:highlight w:val="white"/>
              </w:rPr>
              <w:t>&lt; 0.8</w:t>
            </w:r>
            <w:r>
              <w:rPr>
                <w:i/>
                <w:color w:val="000000"/>
                <w:sz w:val="24"/>
                <w:szCs w:val="24"/>
                <w:highlight w:val="white"/>
              </w:rPr>
              <w:t xml:space="preserve"> times</w:t>
            </w:r>
          </w:p>
        </w:tc>
        <w:tc>
          <w:tcPr>
            <w:tcW w:w="3089" w:type="dxa"/>
            <w:vAlign w:val="center"/>
          </w:tcPr>
          <w:p w14:paraId="70F29AEC" w14:textId="7BE603EB"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 xml:space="preserve">Tested and </w:t>
            </w:r>
            <w:r w:rsidRPr="008C112E">
              <w:rPr>
                <w:color w:val="000000"/>
                <w:sz w:val="24"/>
                <w:szCs w:val="24"/>
              </w:rPr>
              <w:t>reported yearly</w:t>
            </w:r>
            <w:r w:rsidRPr="008C112E">
              <w:rPr>
                <w:sz w:val="24"/>
                <w:szCs w:val="24"/>
              </w:rPr>
              <w:t xml:space="preserve"> </w:t>
            </w:r>
            <w:r w:rsidRPr="008C112E">
              <w:rPr>
                <w:color w:val="000000"/>
                <w:sz w:val="24"/>
                <w:szCs w:val="24"/>
              </w:rPr>
              <w:t>in arrears within 120 days of each accounting</w:t>
            </w:r>
            <w:r w:rsidRPr="008C112E">
              <w:rPr>
                <w:i/>
                <w:color w:val="000000"/>
                <w:sz w:val="24"/>
                <w:szCs w:val="24"/>
              </w:rPr>
              <w:t xml:space="preserve"> </w:t>
            </w:r>
            <w:r>
              <w:rPr>
                <w:i/>
                <w:color w:val="000000"/>
                <w:sz w:val="24"/>
                <w:szCs w:val="24"/>
                <w:highlight w:val="white"/>
              </w:rPr>
              <w:t>reference date based upon figures at the relevant accounting reference date</w:t>
            </w:r>
          </w:p>
        </w:tc>
      </w:tr>
      <w:tr w:rsidR="009120F6" w14:paraId="7BB67FC5" w14:textId="77777777">
        <w:tc>
          <w:tcPr>
            <w:tcW w:w="2253" w:type="dxa"/>
            <w:vAlign w:val="center"/>
          </w:tcPr>
          <w:p w14:paraId="59787F09" w14:textId="77777777"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lastRenderedPageBreak/>
              <w:t>6</w:t>
            </w:r>
          </w:p>
          <w:p w14:paraId="7EAE72CD" w14:textId="00CF5F2F"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Net Asset value</w:t>
            </w:r>
          </w:p>
        </w:tc>
        <w:tc>
          <w:tcPr>
            <w:tcW w:w="1977" w:type="dxa"/>
            <w:vAlign w:val="center"/>
          </w:tcPr>
          <w:p w14:paraId="05773051" w14:textId="05036109"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Net Asset Value = Net Assets</w:t>
            </w:r>
          </w:p>
        </w:tc>
        <w:tc>
          <w:tcPr>
            <w:tcW w:w="1697" w:type="dxa"/>
            <w:vAlign w:val="center"/>
          </w:tcPr>
          <w:p w14:paraId="4885410F" w14:textId="77777777"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&gt; £0</w:t>
            </w:r>
          </w:p>
        </w:tc>
        <w:tc>
          <w:tcPr>
            <w:tcW w:w="3089" w:type="dxa"/>
            <w:vAlign w:val="center"/>
          </w:tcPr>
          <w:p w14:paraId="3B1DA7AE" w14:textId="6A5A5D90"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 xml:space="preserve">Tested and reported </w:t>
            </w:r>
            <w:r w:rsidRPr="008C112E">
              <w:rPr>
                <w:color w:val="000000"/>
                <w:sz w:val="24"/>
                <w:szCs w:val="24"/>
              </w:rPr>
              <w:t>yearly in arrears within 120 days of each accounting</w:t>
            </w:r>
            <w:r w:rsidRPr="008C112E">
              <w:rPr>
                <w:i/>
                <w:color w:val="000000"/>
                <w:sz w:val="24"/>
                <w:szCs w:val="24"/>
              </w:rPr>
              <w:t xml:space="preserve"> </w:t>
            </w:r>
            <w:r>
              <w:rPr>
                <w:i/>
                <w:color w:val="000000"/>
                <w:sz w:val="24"/>
                <w:szCs w:val="24"/>
                <w:highlight w:val="white"/>
              </w:rPr>
              <w:t>reference date based upon figures at the relevant accounting reference date</w:t>
            </w:r>
          </w:p>
        </w:tc>
      </w:tr>
      <w:tr w:rsidR="009120F6" w14:paraId="3DF1EE36" w14:textId="77777777">
        <w:tc>
          <w:tcPr>
            <w:tcW w:w="2253" w:type="dxa"/>
            <w:vAlign w:val="center"/>
          </w:tcPr>
          <w:p w14:paraId="2350A64C" w14:textId="77777777"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7</w:t>
            </w:r>
          </w:p>
          <w:p w14:paraId="680883A7" w14:textId="47E28532" w:rsidR="009120F6" w:rsidRDefault="00942291">
            <w:pPr>
              <w:pBdr>
                <w:top w:val="nil"/>
                <w:left w:val="nil"/>
                <w:bottom w:val="nil"/>
                <w:right w:val="nil"/>
                <w:between w:val="nil"/>
              </w:pBdr>
              <w:spacing w:before="120" w:after="120"/>
              <w:jc w:val="left"/>
              <w:rPr>
                <w:b/>
                <w:color w:val="000000"/>
                <w:sz w:val="24"/>
                <w:szCs w:val="24"/>
                <w:highlight w:val="white"/>
              </w:rPr>
            </w:pPr>
            <w:r>
              <w:rPr>
                <w:b/>
                <w:color w:val="000000"/>
                <w:sz w:val="24"/>
                <w:szCs w:val="24"/>
                <w:highlight w:val="white"/>
              </w:rPr>
              <w:t>Group Exposure Ratio</w:t>
            </w:r>
          </w:p>
        </w:tc>
        <w:tc>
          <w:tcPr>
            <w:tcW w:w="1977" w:type="dxa"/>
            <w:vAlign w:val="center"/>
          </w:tcPr>
          <w:p w14:paraId="29AF99E7" w14:textId="584BF4AF"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Group Exposure / Gross Assets</w:t>
            </w:r>
          </w:p>
        </w:tc>
        <w:tc>
          <w:tcPr>
            <w:tcW w:w="1697" w:type="dxa"/>
            <w:vAlign w:val="center"/>
          </w:tcPr>
          <w:p w14:paraId="50AFEC8A" w14:textId="77777777" w:rsidR="009120F6" w:rsidRDefault="00942291">
            <w:pPr>
              <w:pBdr>
                <w:top w:val="nil"/>
                <w:left w:val="nil"/>
                <w:bottom w:val="nil"/>
                <w:right w:val="nil"/>
                <w:between w:val="nil"/>
              </w:pBdr>
              <w:spacing w:before="120" w:after="120"/>
              <w:jc w:val="center"/>
              <w:rPr>
                <w:i/>
                <w:color w:val="000000"/>
                <w:sz w:val="24"/>
                <w:szCs w:val="24"/>
                <w:highlight w:val="white"/>
              </w:rPr>
            </w:pPr>
            <w:r>
              <w:rPr>
                <w:i/>
                <w:sz w:val="24"/>
                <w:szCs w:val="24"/>
                <w:highlight w:val="white"/>
              </w:rPr>
              <w:t>&gt;</w:t>
            </w:r>
            <w:r>
              <w:rPr>
                <w:i/>
                <w:color w:val="000000"/>
                <w:sz w:val="24"/>
                <w:szCs w:val="24"/>
                <w:highlight w:val="white"/>
              </w:rPr>
              <w:t xml:space="preserve"> </w:t>
            </w:r>
            <w:r>
              <w:rPr>
                <w:i/>
                <w:sz w:val="24"/>
                <w:szCs w:val="24"/>
                <w:highlight w:val="white"/>
              </w:rPr>
              <w:t>50</w:t>
            </w:r>
            <w:r>
              <w:rPr>
                <w:i/>
                <w:color w:val="000000"/>
                <w:sz w:val="24"/>
                <w:szCs w:val="24"/>
                <w:highlight w:val="white"/>
              </w:rPr>
              <w:t>%</w:t>
            </w:r>
          </w:p>
        </w:tc>
        <w:tc>
          <w:tcPr>
            <w:tcW w:w="3089" w:type="dxa"/>
            <w:vAlign w:val="center"/>
          </w:tcPr>
          <w:p w14:paraId="081237C3" w14:textId="77777777" w:rsidR="009120F6" w:rsidRDefault="00942291">
            <w:pPr>
              <w:pBdr>
                <w:top w:val="nil"/>
                <w:left w:val="nil"/>
                <w:bottom w:val="nil"/>
                <w:right w:val="nil"/>
                <w:between w:val="nil"/>
              </w:pBdr>
              <w:spacing w:before="120" w:after="120"/>
              <w:jc w:val="center"/>
              <w:rPr>
                <w:i/>
                <w:color w:val="000000"/>
                <w:sz w:val="24"/>
                <w:szCs w:val="24"/>
                <w:highlight w:val="white"/>
              </w:rPr>
            </w:pPr>
            <w:r>
              <w:rPr>
                <w:i/>
                <w:color w:val="000000"/>
                <w:sz w:val="24"/>
                <w:szCs w:val="24"/>
                <w:highlight w:val="white"/>
              </w:rPr>
              <w:t>Tested and reported yearly in arrears within 90 days of each accounting reference date based upon figures at the relevant accounting reference date</w:t>
            </w:r>
          </w:p>
        </w:tc>
      </w:tr>
    </w:tbl>
    <w:p w14:paraId="054C5434" w14:textId="77777777" w:rsidR="009120F6" w:rsidRDefault="00942291">
      <w:pPr>
        <w:pBdr>
          <w:top w:val="nil"/>
          <w:left w:val="nil"/>
          <w:bottom w:val="nil"/>
          <w:right w:val="nil"/>
          <w:between w:val="nil"/>
        </w:pBdr>
        <w:tabs>
          <w:tab w:val="left" w:pos="142"/>
        </w:tabs>
        <w:spacing w:before="120" w:after="120"/>
        <w:rPr>
          <w:smallCaps/>
        </w:rPr>
      </w:pPr>
      <w:r>
        <w:t>Key: 1 – see Annex 3 to this Schedule which sets out the calculation methodology to be used in the calculation of each Financial Indicator.</w:t>
      </w:r>
    </w:p>
    <w:p w14:paraId="1CAE62A5" w14:textId="47DCCE54" w:rsidR="00295263" w:rsidRPr="008C112E" w:rsidRDefault="00942291" w:rsidP="00886B4F">
      <w:pPr>
        <w:numPr>
          <w:ilvl w:val="1"/>
          <w:numId w:val="2"/>
        </w:numPr>
        <w:pBdr>
          <w:top w:val="nil"/>
          <w:left w:val="nil"/>
          <w:bottom w:val="nil"/>
          <w:right w:val="nil"/>
          <w:between w:val="nil"/>
        </w:pBdr>
        <w:tabs>
          <w:tab w:val="left" w:pos="1134"/>
        </w:tabs>
        <w:spacing w:before="120" w:after="120"/>
        <w:ind w:left="1134" w:hanging="708"/>
        <w:jc w:val="left"/>
      </w:pPr>
      <w:bookmarkStart w:id="23" w:name="_heading=h.nsz0gcqro5o0" w:colFirst="0" w:colLast="0"/>
      <w:bookmarkEnd w:id="23"/>
      <w:r>
        <w:t xml:space="preserve">Monitored Suppliers </w:t>
      </w:r>
    </w:p>
    <w:tbl>
      <w:tblPr>
        <w:tblStyle w:val="ab"/>
        <w:tblW w:w="7887"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4"/>
        <w:gridCol w:w="4223"/>
      </w:tblGrid>
      <w:tr w:rsidR="009120F6" w14:paraId="304C4AFA" w14:textId="77777777">
        <w:tc>
          <w:tcPr>
            <w:tcW w:w="3664" w:type="dxa"/>
            <w:shd w:val="clear" w:color="auto" w:fill="D9D9D9"/>
          </w:tcPr>
          <w:p w14:paraId="135124C7" w14:textId="77777777" w:rsidR="009120F6" w:rsidRDefault="00942291">
            <w:pPr>
              <w:pBdr>
                <w:top w:val="nil"/>
                <w:left w:val="nil"/>
                <w:bottom w:val="nil"/>
                <w:right w:val="nil"/>
                <w:between w:val="nil"/>
              </w:pBdr>
              <w:spacing w:before="120" w:after="120"/>
              <w:jc w:val="left"/>
              <w:rPr>
                <w:b/>
                <w:sz w:val="24"/>
                <w:szCs w:val="24"/>
              </w:rPr>
            </w:pPr>
            <w:r>
              <w:rPr>
                <w:b/>
                <w:sz w:val="24"/>
                <w:szCs w:val="24"/>
              </w:rPr>
              <w:t>Monitored Supplier</w:t>
            </w:r>
          </w:p>
        </w:tc>
        <w:tc>
          <w:tcPr>
            <w:tcW w:w="4223" w:type="dxa"/>
            <w:shd w:val="clear" w:color="auto" w:fill="D9D9D9"/>
          </w:tcPr>
          <w:p w14:paraId="2AFCA263" w14:textId="77777777" w:rsidR="009120F6" w:rsidRDefault="00942291">
            <w:pPr>
              <w:pBdr>
                <w:top w:val="nil"/>
                <w:left w:val="nil"/>
                <w:bottom w:val="nil"/>
                <w:right w:val="nil"/>
                <w:between w:val="nil"/>
              </w:pBdr>
              <w:spacing w:before="120" w:after="120"/>
              <w:jc w:val="left"/>
              <w:rPr>
                <w:sz w:val="24"/>
                <w:szCs w:val="24"/>
              </w:rPr>
            </w:pPr>
            <w:r>
              <w:rPr>
                <w:sz w:val="24"/>
                <w:szCs w:val="24"/>
              </w:rPr>
              <w:t>Applicable Financial Indicators</w:t>
            </w:r>
          </w:p>
          <w:p w14:paraId="38EE7D5E" w14:textId="77777777" w:rsidR="009120F6" w:rsidRDefault="00942291">
            <w:pPr>
              <w:pBdr>
                <w:top w:val="nil"/>
                <w:left w:val="nil"/>
                <w:bottom w:val="nil"/>
                <w:right w:val="nil"/>
                <w:between w:val="nil"/>
              </w:pBdr>
              <w:spacing w:before="120" w:after="120"/>
              <w:jc w:val="left"/>
              <w:rPr>
                <w:sz w:val="24"/>
                <w:szCs w:val="24"/>
              </w:rPr>
            </w:pPr>
            <w:bookmarkStart w:id="24" w:name="_heading=h.3whwml4" w:colFirst="0" w:colLast="0"/>
            <w:bookmarkEnd w:id="24"/>
            <w:r>
              <w:rPr>
                <w:sz w:val="24"/>
                <w:szCs w:val="24"/>
              </w:rPr>
              <w:t>(</w:t>
            </w:r>
            <w:proofErr w:type="gramStart"/>
            <w:r>
              <w:rPr>
                <w:sz w:val="24"/>
                <w:szCs w:val="24"/>
              </w:rPr>
              <w:t>these</w:t>
            </w:r>
            <w:proofErr w:type="gramEnd"/>
            <w:r>
              <w:rPr>
                <w:sz w:val="24"/>
                <w:szCs w:val="24"/>
              </w:rPr>
              <w:t xml:space="preserve"> are the Financial Indicators from the table in Paragraph 5.1 which are to apply to the Monitored Suppliers)</w:t>
            </w:r>
          </w:p>
        </w:tc>
      </w:tr>
      <w:tr w:rsidR="00295263" w14:paraId="651B2115" w14:textId="77777777">
        <w:tc>
          <w:tcPr>
            <w:tcW w:w="3664" w:type="dxa"/>
          </w:tcPr>
          <w:p w14:paraId="7424D6DE" w14:textId="499C056C" w:rsidR="00295263" w:rsidRPr="008C112E" w:rsidRDefault="00295263" w:rsidP="00295263">
            <w:pPr>
              <w:pBdr>
                <w:top w:val="nil"/>
                <w:left w:val="nil"/>
                <w:bottom w:val="nil"/>
                <w:right w:val="nil"/>
                <w:between w:val="nil"/>
              </w:pBdr>
              <w:spacing w:before="120" w:after="120"/>
              <w:jc w:val="left"/>
            </w:pPr>
            <w:r w:rsidRPr="008C112E">
              <w:rPr>
                <w:sz w:val="24"/>
                <w:szCs w:val="24"/>
              </w:rPr>
              <w:t xml:space="preserve">Guarantor – if applicable </w:t>
            </w:r>
          </w:p>
        </w:tc>
        <w:tc>
          <w:tcPr>
            <w:tcW w:w="4223" w:type="dxa"/>
          </w:tcPr>
          <w:p w14:paraId="4453FCEE" w14:textId="378D49DC" w:rsidR="00295263" w:rsidRPr="008C112E" w:rsidRDefault="00295263" w:rsidP="00295263">
            <w:pPr>
              <w:pBdr>
                <w:top w:val="nil"/>
                <w:left w:val="nil"/>
                <w:bottom w:val="nil"/>
                <w:right w:val="nil"/>
                <w:between w:val="nil"/>
              </w:pBdr>
              <w:spacing w:before="120" w:after="120"/>
              <w:jc w:val="left"/>
            </w:pPr>
            <w:r w:rsidRPr="008C112E">
              <w:rPr>
                <w:sz w:val="24"/>
                <w:szCs w:val="24"/>
              </w:rPr>
              <w:t>ALL</w:t>
            </w:r>
          </w:p>
        </w:tc>
      </w:tr>
      <w:tr w:rsidR="00295263" w14:paraId="38F90AC6" w14:textId="77777777">
        <w:tc>
          <w:tcPr>
            <w:tcW w:w="3664" w:type="dxa"/>
          </w:tcPr>
          <w:p w14:paraId="79E52BC3" w14:textId="77777777" w:rsidR="00295263" w:rsidRPr="008C112E" w:rsidRDefault="00295263" w:rsidP="00295263">
            <w:pPr>
              <w:pBdr>
                <w:top w:val="nil"/>
                <w:left w:val="nil"/>
                <w:bottom w:val="nil"/>
                <w:right w:val="nil"/>
                <w:between w:val="nil"/>
              </w:pBdr>
              <w:spacing w:before="120" w:after="120"/>
              <w:jc w:val="left"/>
              <w:rPr>
                <w:sz w:val="24"/>
                <w:szCs w:val="24"/>
              </w:rPr>
            </w:pPr>
            <w:r w:rsidRPr="008C112E">
              <w:rPr>
                <w:sz w:val="24"/>
                <w:szCs w:val="24"/>
              </w:rPr>
              <w:t xml:space="preserve">Ultimate parent </w:t>
            </w:r>
          </w:p>
        </w:tc>
        <w:tc>
          <w:tcPr>
            <w:tcW w:w="4223" w:type="dxa"/>
          </w:tcPr>
          <w:p w14:paraId="67CCDAF6" w14:textId="2FE3613D" w:rsidR="00295263" w:rsidRPr="008C112E" w:rsidRDefault="00295263" w:rsidP="00295263">
            <w:pPr>
              <w:pBdr>
                <w:top w:val="nil"/>
                <w:left w:val="nil"/>
                <w:bottom w:val="nil"/>
                <w:right w:val="nil"/>
                <w:between w:val="nil"/>
              </w:pBdr>
              <w:spacing w:before="120" w:after="120"/>
              <w:jc w:val="left"/>
              <w:rPr>
                <w:sz w:val="24"/>
                <w:szCs w:val="24"/>
              </w:rPr>
            </w:pPr>
            <w:r w:rsidRPr="008C112E">
              <w:rPr>
                <w:sz w:val="24"/>
                <w:szCs w:val="24"/>
              </w:rPr>
              <w:t>A</w:t>
            </w:r>
            <w:r w:rsidR="00F05873" w:rsidRPr="008C112E">
              <w:rPr>
                <w:sz w:val="24"/>
                <w:szCs w:val="24"/>
              </w:rPr>
              <w:t>LL</w:t>
            </w:r>
          </w:p>
        </w:tc>
      </w:tr>
      <w:tr w:rsidR="00F05873" w14:paraId="74C66600" w14:textId="77777777">
        <w:tc>
          <w:tcPr>
            <w:tcW w:w="3664" w:type="dxa"/>
          </w:tcPr>
          <w:p w14:paraId="4ECF0908" w14:textId="30E26CF4" w:rsidR="00F05873" w:rsidRPr="008C112E" w:rsidRDefault="00F05873" w:rsidP="00F05873">
            <w:pPr>
              <w:pBdr>
                <w:top w:val="nil"/>
                <w:left w:val="nil"/>
                <w:bottom w:val="nil"/>
                <w:right w:val="nil"/>
                <w:between w:val="nil"/>
              </w:pBdr>
              <w:spacing w:before="120" w:after="120"/>
              <w:jc w:val="left"/>
            </w:pPr>
            <w:r w:rsidRPr="008C112E">
              <w:rPr>
                <w:sz w:val="24"/>
                <w:szCs w:val="24"/>
              </w:rPr>
              <w:t>[etc.]</w:t>
            </w:r>
          </w:p>
        </w:tc>
        <w:tc>
          <w:tcPr>
            <w:tcW w:w="4223" w:type="dxa"/>
          </w:tcPr>
          <w:p w14:paraId="779A47EE" w14:textId="797A93E5" w:rsidR="00F05873" w:rsidRPr="008C112E" w:rsidRDefault="00F05873" w:rsidP="00F05873">
            <w:pPr>
              <w:pBdr>
                <w:top w:val="nil"/>
                <w:left w:val="nil"/>
                <w:bottom w:val="nil"/>
                <w:right w:val="nil"/>
                <w:between w:val="nil"/>
              </w:pBdr>
              <w:spacing w:before="120" w:after="120"/>
              <w:jc w:val="left"/>
            </w:pPr>
            <w:r w:rsidRPr="008C112E">
              <w:rPr>
                <w:sz w:val="24"/>
                <w:szCs w:val="24"/>
              </w:rPr>
              <w:t>[etc.]</w:t>
            </w:r>
          </w:p>
        </w:tc>
      </w:tr>
    </w:tbl>
    <w:p w14:paraId="451F2DFD" w14:textId="77777777" w:rsidR="009120F6" w:rsidRDefault="009120F6">
      <w:pPr>
        <w:pBdr>
          <w:top w:val="nil"/>
          <w:left w:val="nil"/>
          <w:bottom w:val="nil"/>
          <w:right w:val="nil"/>
          <w:between w:val="nil"/>
        </w:pBdr>
        <w:tabs>
          <w:tab w:val="left" w:pos="1134"/>
        </w:tabs>
        <w:spacing w:before="120" w:after="120"/>
        <w:ind w:left="360" w:hanging="1004"/>
        <w:jc w:val="left"/>
      </w:pPr>
    </w:p>
    <w:p w14:paraId="58341781" w14:textId="77777777" w:rsidR="009120F6" w:rsidRDefault="00942291">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Termination rights</w:t>
      </w:r>
    </w:p>
    <w:p w14:paraId="61768C79"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r>
        <w:t>The Relevant Authority shall be entitled to terminate the Contract if:</w:t>
      </w:r>
    </w:p>
    <w:p w14:paraId="1BF7EB48"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the Supplier fails to notify the Relevant Authority of a Financial Distress Event in accordance with Paragraph 2.3.3;</w:t>
      </w:r>
    </w:p>
    <w:p w14:paraId="1109DD29"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the Parties fail to agree a Financial Distress Remediation Plan (or any updated Financial Distress Remediation Plan) in accordance with Paragraphs 4.3 to 4.5; and/or</w:t>
      </w:r>
    </w:p>
    <w:p w14:paraId="4276239E"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the Supplier fails to comply with the terms of the Financial Distress Remediation Plan (or any updated Financial Distress Remediation Plan) in accordance with Paragraph 4.6.3,</w:t>
      </w:r>
    </w:p>
    <w:p w14:paraId="4941474E" w14:textId="77777777" w:rsidR="009120F6" w:rsidRDefault="00942291">
      <w:pPr>
        <w:pBdr>
          <w:top w:val="nil"/>
          <w:left w:val="nil"/>
          <w:bottom w:val="nil"/>
          <w:right w:val="nil"/>
          <w:between w:val="nil"/>
        </w:pBdr>
        <w:tabs>
          <w:tab w:val="left" w:pos="1985"/>
        </w:tabs>
        <w:spacing w:before="120" w:after="120"/>
        <w:ind w:left="1134"/>
      </w:pPr>
      <w:r>
        <w:t xml:space="preserve">which shall be deemed to be an event to which Clause 13.3 </w:t>
      </w:r>
      <w:r>
        <w:rPr>
          <w:i/>
        </w:rPr>
        <w:t>(When CCS or the Buyer can end a contract)</w:t>
      </w:r>
      <w:r>
        <w:t xml:space="preserve"> of the General Terms applies and Clause 13.4.1 of the General Terms shall apply accordingly.</w:t>
      </w:r>
    </w:p>
    <w:p w14:paraId="68594C2E" w14:textId="77777777" w:rsidR="009120F6" w:rsidRDefault="00942291">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lastRenderedPageBreak/>
        <w:t>Primacy of Credit Ratings</w:t>
      </w:r>
    </w:p>
    <w:p w14:paraId="44CC808A"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bookmarkStart w:id="25" w:name="_heading=h.yjruggpno3e" w:colFirst="0" w:colLast="0"/>
      <w:bookmarkEnd w:id="25"/>
      <w: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746C0353"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the Supplier shall be relieved automatically of its obligations under Paragraphs 4.3 to 4.6; and</w:t>
      </w:r>
    </w:p>
    <w:p w14:paraId="6EC87525"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the Relevant Authority shall not be entitled to require the Supplier to provide financial information in accordance with Paragraph 4.3.2(b).</w:t>
      </w:r>
    </w:p>
    <w:p w14:paraId="1B42FF29" w14:textId="77777777" w:rsidR="009120F6" w:rsidRDefault="00942291">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26" w:name="_heading=h.t3i7i2sfu3cz" w:colFirst="0" w:colLast="0"/>
      <w:bookmarkEnd w:id="26"/>
      <w:r>
        <w:rPr>
          <w:b/>
        </w:rPr>
        <w:t>Board confirmation</w:t>
      </w:r>
    </w:p>
    <w:p w14:paraId="74437EF7"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bookmarkStart w:id="27" w:name="_heading=h.cfuizrlw60sp" w:colFirst="0" w:colLast="0"/>
      <w:bookmarkEnd w:id="27"/>
      <w:r>
        <w:t xml:space="preserve">If the Contract has been specified as a Critical Service Contract under Paragraph 1.1 of Call-Off Schedule 24 </w:t>
      </w:r>
      <w:r>
        <w:rPr>
          <w:i/>
        </w:rPr>
        <w:t>(Corporate Resolution Planning)</w:t>
      </w:r>
      <w: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5C6AB6F9"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that a Financial Distress Event has occurred since the later of the Effective Date or the previous Board Confirmation or is subsisting; or</w:t>
      </w:r>
    </w:p>
    <w:p w14:paraId="04FA685F" w14:textId="77777777" w:rsidR="009120F6" w:rsidRDefault="00942291">
      <w:pPr>
        <w:numPr>
          <w:ilvl w:val="2"/>
          <w:numId w:val="2"/>
        </w:numPr>
        <w:pBdr>
          <w:top w:val="nil"/>
          <w:left w:val="nil"/>
          <w:bottom w:val="nil"/>
          <w:right w:val="nil"/>
          <w:between w:val="nil"/>
        </w:pBdr>
        <w:tabs>
          <w:tab w:val="left" w:pos="1985"/>
        </w:tabs>
        <w:spacing w:before="120" w:after="120"/>
        <w:ind w:left="1985" w:hanging="851"/>
      </w:pPr>
      <w:r>
        <w:t>of any matters which have occurred or are subsisting that could reasonably be expected to cause a Financial Distress Event.</w:t>
      </w:r>
    </w:p>
    <w:p w14:paraId="1582A5EF"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502475C0"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bookmarkStart w:id="28" w:name="_heading=h.7t9blp5rlylg" w:colFirst="0" w:colLast="0"/>
      <w:bookmarkEnd w:id="28"/>
      <w:r>
        <w:t>In respect of the first Board Confirmation to be provided under the Contract, the Supplier shall provide the Board Confirmation within 15 months of the Effective Date if earlier than the timescale for submission set out in Paragraph 8.1 of this Schedule.</w:t>
      </w:r>
    </w:p>
    <w:p w14:paraId="21C61BDF" w14:textId="77777777" w:rsidR="009120F6" w:rsidRDefault="00942291">
      <w:pPr>
        <w:numPr>
          <w:ilvl w:val="1"/>
          <w:numId w:val="2"/>
        </w:numPr>
        <w:pBdr>
          <w:top w:val="nil"/>
          <w:left w:val="nil"/>
          <w:bottom w:val="nil"/>
          <w:right w:val="nil"/>
          <w:between w:val="nil"/>
        </w:pBdr>
        <w:tabs>
          <w:tab w:val="left" w:pos="1134"/>
        </w:tabs>
        <w:spacing w:before="120" w:after="120"/>
        <w:ind w:left="1134" w:hanging="708"/>
        <w:jc w:val="left"/>
      </w:pPr>
      <w:bookmarkStart w:id="29" w:name="_heading=h.1nu3zaf23hgi" w:colFirst="0" w:colLast="0"/>
      <w:bookmarkEnd w:id="29"/>
      <w: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an Authorised Financial Representative to the Buyer (and where the Supplier is a Strategic Supplier, the Supplier shall send a copy of the statement to the Cabinet Office Markets and Suppliers Team) setting out full details of any Financial Distress Events </w:t>
      </w:r>
      <w:r>
        <w:lastRenderedPageBreak/>
        <w:t>that have occurred and/or the matters which could reasonably be expected to cause a Financial Distress Event.</w:t>
      </w:r>
    </w:p>
    <w:p w14:paraId="4827FAAD" w14:textId="77777777" w:rsidR="009120F6" w:rsidRDefault="009120F6">
      <w:pPr>
        <w:pBdr>
          <w:top w:val="nil"/>
          <w:left w:val="nil"/>
          <w:bottom w:val="nil"/>
          <w:right w:val="nil"/>
          <w:between w:val="nil"/>
        </w:pBdr>
        <w:tabs>
          <w:tab w:val="left" w:pos="142"/>
        </w:tabs>
        <w:spacing w:before="120" w:after="120"/>
        <w:ind w:left="360" w:hanging="360"/>
        <w:rPr>
          <w:b/>
          <w:smallCaps/>
        </w:rPr>
      </w:pPr>
    </w:p>
    <w:p w14:paraId="40C88F52" w14:textId="77777777" w:rsidR="009120F6" w:rsidRDefault="00942291">
      <w:pPr>
        <w:spacing w:before="120" w:after="120"/>
        <w:jc w:val="left"/>
        <w:rPr>
          <w:b/>
          <w:sz w:val="36"/>
          <w:szCs w:val="36"/>
        </w:rPr>
      </w:pPr>
      <w:r>
        <w:br w:type="page"/>
      </w:r>
      <w:r>
        <w:rPr>
          <w:b/>
          <w:sz w:val="36"/>
          <w:szCs w:val="36"/>
        </w:rPr>
        <w:lastRenderedPageBreak/>
        <w:t>Annex 1: Rating Agencies and their standard Rating System</w:t>
      </w:r>
    </w:p>
    <w:p w14:paraId="692F19C6" w14:textId="4DC7A4EB" w:rsidR="009120F6" w:rsidRDefault="00295263">
      <w:pPr>
        <w:keepNext/>
        <w:pBdr>
          <w:top w:val="nil"/>
          <w:left w:val="nil"/>
          <w:bottom w:val="nil"/>
          <w:right w:val="nil"/>
          <w:between w:val="nil"/>
        </w:pBdr>
        <w:spacing w:before="120" w:after="120"/>
        <w:jc w:val="left"/>
      </w:pPr>
      <w:r w:rsidRPr="00886B4F">
        <w:t xml:space="preserve">Rating Agency 1: Framework level agency - </w:t>
      </w:r>
      <w:r w:rsidR="00942291" w:rsidRPr="00886B4F">
        <w:t>Dun and Bradstreet (Failure Score)</w:t>
      </w:r>
    </w:p>
    <w:p w14:paraId="4EFCAABA" w14:textId="77777777" w:rsidR="009120F6" w:rsidRDefault="00942291">
      <w:pPr>
        <w:spacing w:before="120" w:after="120"/>
        <w:jc w:val="left"/>
      </w:pPr>
      <w:r>
        <w:br w:type="page"/>
      </w:r>
    </w:p>
    <w:p w14:paraId="4E2E8DB1" w14:textId="77777777" w:rsidR="009120F6" w:rsidRDefault="00942291">
      <w:pPr>
        <w:pBdr>
          <w:top w:val="nil"/>
          <w:left w:val="nil"/>
          <w:bottom w:val="nil"/>
          <w:right w:val="nil"/>
          <w:between w:val="nil"/>
        </w:pBdr>
        <w:spacing w:before="120" w:after="120"/>
        <w:rPr>
          <w:b/>
          <w:smallCaps/>
          <w:sz w:val="36"/>
          <w:szCs w:val="36"/>
        </w:rPr>
      </w:pPr>
      <w:bookmarkStart w:id="30" w:name="_heading=h.2bn6wsx" w:colFirst="0" w:colLast="0"/>
      <w:bookmarkEnd w:id="30"/>
      <w:r>
        <w:rPr>
          <w:b/>
          <w:sz w:val="36"/>
          <w:szCs w:val="36"/>
        </w:rPr>
        <w:lastRenderedPageBreak/>
        <w:t>Annex 2</w:t>
      </w:r>
      <w:r>
        <w:rPr>
          <w:b/>
          <w:smallCaps/>
          <w:sz w:val="36"/>
          <w:szCs w:val="36"/>
        </w:rPr>
        <w:t xml:space="preserve">: </w:t>
      </w:r>
      <w:r>
        <w:rPr>
          <w:b/>
          <w:sz w:val="36"/>
          <w:szCs w:val="36"/>
        </w:rPr>
        <w:t>Credit Ratings and Credit Rating Thresholds</w:t>
      </w:r>
    </w:p>
    <w:tbl>
      <w:tblPr>
        <w:tblStyle w:val="ac"/>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9120F6" w14:paraId="75C71E33" w14:textId="77777777">
        <w:tc>
          <w:tcPr>
            <w:tcW w:w="3080" w:type="dxa"/>
            <w:tcBorders>
              <w:top w:val="single" w:sz="4" w:space="0" w:color="000000"/>
            </w:tcBorders>
            <w:shd w:val="clear" w:color="auto" w:fill="FFFFFF"/>
          </w:tcPr>
          <w:p w14:paraId="6AFE9D42" w14:textId="77777777" w:rsidR="009120F6" w:rsidRDefault="00942291">
            <w:pPr>
              <w:keepNext/>
              <w:pBdr>
                <w:top w:val="nil"/>
                <w:left w:val="nil"/>
                <w:bottom w:val="nil"/>
                <w:right w:val="nil"/>
                <w:between w:val="nil"/>
              </w:pBdr>
              <w:spacing w:before="120" w:after="120"/>
              <w:ind w:left="142"/>
              <w:jc w:val="left"/>
              <w:rPr>
                <w:b/>
              </w:rPr>
            </w:pPr>
            <w:r>
              <w:rPr>
                <w:b/>
              </w:rPr>
              <w:t>Entity</w:t>
            </w:r>
          </w:p>
        </w:tc>
        <w:tc>
          <w:tcPr>
            <w:tcW w:w="3081" w:type="dxa"/>
            <w:tcBorders>
              <w:top w:val="single" w:sz="4" w:space="0" w:color="000000"/>
            </w:tcBorders>
            <w:shd w:val="clear" w:color="auto" w:fill="FFFFFF"/>
          </w:tcPr>
          <w:p w14:paraId="44E3E4A3" w14:textId="77777777" w:rsidR="009120F6" w:rsidRDefault="00942291">
            <w:pPr>
              <w:keepNext/>
              <w:pBdr>
                <w:top w:val="nil"/>
                <w:left w:val="nil"/>
                <w:bottom w:val="nil"/>
                <w:right w:val="nil"/>
                <w:between w:val="nil"/>
              </w:pBdr>
              <w:spacing w:before="120" w:after="120"/>
              <w:ind w:left="142"/>
              <w:jc w:val="left"/>
              <w:rPr>
                <w:b/>
              </w:rPr>
            </w:pPr>
            <w:r>
              <w:rPr>
                <w:b/>
              </w:rPr>
              <w:t>Credit Rating Threshold</w:t>
            </w:r>
          </w:p>
        </w:tc>
      </w:tr>
      <w:tr w:rsidR="009120F6" w14:paraId="2F42DB77" w14:textId="77777777">
        <w:tc>
          <w:tcPr>
            <w:tcW w:w="3080" w:type="dxa"/>
            <w:shd w:val="clear" w:color="auto" w:fill="FFFFFF"/>
          </w:tcPr>
          <w:p w14:paraId="72DE7453" w14:textId="77777777" w:rsidR="009120F6" w:rsidRDefault="00942291">
            <w:pPr>
              <w:keepNext/>
              <w:pBdr>
                <w:top w:val="nil"/>
                <w:left w:val="nil"/>
                <w:bottom w:val="nil"/>
                <w:right w:val="nil"/>
                <w:between w:val="nil"/>
              </w:pBdr>
              <w:spacing w:before="120" w:after="120"/>
              <w:ind w:left="142"/>
              <w:jc w:val="left"/>
            </w:pPr>
            <w:r>
              <w:t>Supplier</w:t>
            </w:r>
          </w:p>
        </w:tc>
        <w:tc>
          <w:tcPr>
            <w:tcW w:w="3081" w:type="dxa"/>
            <w:shd w:val="clear" w:color="auto" w:fill="FFFFFF"/>
          </w:tcPr>
          <w:p w14:paraId="5B218046" w14:textId="77777777" w:rsidR="009120F6" w:rsidRDefault="00942291">
            <w:pPr>
              <w:keepNext/>
              <w:pBdr>
                <w:top w:val="nil"/>
                <w:left w:val="nil"/>
                <w:bottom w:val="nil"/>
                <w:right w:val="nil"/>
                <w:between w:val="nil"/>
              </w:pBdr>
              <w:spacing w:before="120" w:after="120"/>
              <w:ind w:left="142"/>
              <w:jc w:val="left"/>
              <w:rPr>
                <w:highlight w:val="yellow"/>
              </w:rPr>
            </w:pPr>
            <w:r w:rsidRPr="00886B4F">
              <w:t>30</w:t>
            </w:r>
          </w:p>
        </w:tc>
      </w:tr>
      <w:tr w:rsidR="009120F6" w14:paraId="5D39E34D" w14:textId="77777777">
        <w:tc>
          <w:tcPr>
            <w:tcW w:w="3080" w:type="dxa"/>
            <w:shd w:val="clear" w:color="auto" w:fill="FFFFFF"/>
          </w:tcPr>
          <w:p w14:paraId="32EA3C7F" w14:textId="13070CD4" w:rsidR="009120F6" w:rsidRPr="008C112E" w:rsidRDefault="00942291">
            <w:pPr>
              <w:keepNext/>
              <w:pBdr>
                <w:top w:val="nil"/>
                <w:left w:val="nil"/>
                <w:bottom w:val="nil"/>
                <w:right w:val="nil"/>
                <w:between w:val="nil"/>
              </w:pBdr>
              <w:spacing w:before="120" w:after="120"/>
              <w:ind w:left="142"/>
              <w:jc w:val="left"/>
            </w:pPr>
            <w:r w:rsidRPr="008C112E">
              <w:t>Guarantor</w:t>
            </w:r>
          </w:p>
        </w:tc>
        <w:tc>
          <w:tcPr>
            <w:tcW w:w="3081" w:type="dxa"/>
            <w:shd w:val="clear" w:color="auto" w:fill="FFFFFF"/>
          </w:tcPr>
          <w:p w14:paraId="5F1FACED" w14:textId="77777777" w:rsidR="009120F6" w:rsidRPr="008C112E" w:rsidRDefault="00942291">
            <w:pPr>
              <w:keepNext/>
              <w:pBdr>
                <w:top w:val="nil"/>
                <w:left w:val="nil"/>
                <w:bottom w:val="nil"/>
                <w:right w:val="nil"/>
                <w:between w:val="nil"/>
              </w:pBdr>
              <w:spacing w:before="120" w:after="120"/>
              <w:ind w:left="142"/>
              <w:jc w:val="left"/>
            </w:pPr>
            <w:r w:rsidRPr="008C112E">
              <w:t>30</w:t>
            </w:r>
          </w:p>
        </w:tc>
      </w:tr>
      <w:tr w:rsidR="009120F6" w14:paraId="57A526A2" w14:textId="77777777">
        <w:tc>
          <w:tcPr>
            <w:tcW w:w="3080" w:type="dxa"/>
            <w:tcBorders>
              <w:bottom w:val="single" w:sz="4" w:space="0" w:color="000000"/>
            </w:tcBorders>
            <w:shd w:val="clear" w:color="auto" w:fill="FFFFFF"/>
          </w:tcPr>
          <w:p w14:paraId="10D1EDB2" w14:textId="5DC3822C" w:rsidR="009120F6" w:rsidRPr="008C112E" w:rsidRDefault="00942291">
            <w:pPr>
              <w:keepNext/>
              <w:pBdr>
                <w:top w:val="nil"/>
                <w:left w:val="nil"/>
                <w:bottom w:val="nil"/>
                <w:right w:val="nil"/>
                <w:between w:val="nil"/>
              </w:pBdr>
              <w:spacing w:before="120" w:after="120"/>
              <w:ind w:left="142"/>
              <w:jc w:val="left"/>
            </w:pPr>
            <w:r w:rsidRPr="008C112E">
              <w:t>Key Subcontractor</w:t>
            </w:r>
          </w:p>
        </w:tc>
        <w:tc>
          <w:tcPr>
            <w:tcW w:w="3081" w:type="dxa"/>
            <w:tcBorders>
              <w:bottom w:val="single" w:sz="4" w:space="0" w:color="000000"/>
            </w:tcBorders>
            <w:shd w:val="clear" w:color="auto" w:fill="FFFFFF"/>
          </w:tcPr>
          <w:p w14:paraId="60988EA4" w14:textId="77777777" w:rsidR="009120F6" w:rsidRPr="008C112E" w:rsidRDefault="00942291">
            <w:pPr>
              <w:keepNext/>
              <w:pBdr>
                <w:top w:val="nil"/>
                <w:left w:val="nil"/>
                <w:bottom w:val="nil"/>
                <w:right w:val="nil"/>
                <w:between w:val="nil"/>
              </w:pBdr>
              <w:spacing w:before="120" w:after="120"/>
              <w:ind w:left="142"/>
              <w:jc w:val="left"/>
            </w:pPr>
            <w:r w:rsidRPr="008C112E">
              <w:t>30</w:t>
            </w:r>
          </w:p>
        </w:tc>
      </w:tr>
      <w:tr w:rsidR="009120F6" w14:paraId="5A5E2410" w14:textId="77777777">
        <w:tc>
          <w:tcPr>
            <w:tcW w:w="3080" w:type="dxa"/>
            <w:tcBorders>
              <w:bottom w:val="single" w:sz="4" w:space="0" w:color="000000"/>
            </w:tcBorders>
            <w:shd w:val="clear" w:color="auto" w:fill="FFFFFF"/>
          </w:tcPr>
          <w:p w14:paraId="75C7F4C2" w14:textId="3065B903" w:rsidR="009120F6" w:rsidRPr="008C112E" w:rsidRDefault="00942291">
            <w:pPr>
              <w:keepNext/>
              <w:pBdr>
                <w:top w:val="nil"/>
                <w:left w:val="nil"/>
                <w:bottom w:val="nil"/>
                <w:right w:val="nil"/>
                <w:between w:val="nil"/>
              </w:pBdr>
              <w:spacing w:before="120" w:after="120"/>
              <w:ind w:left="142"/>
              <w:jc w:val="left"/>
            </w:pPr>
            <w:r w:rsidRPr="008C112E">
              <w:t>Ultimate Parent</w:t>
            </w:r>
          </w:p>
        </w:tc>
        <w:tc>
          <w:tcPr>
            <w:tcW w:w="3081" w:type="dxa"/>
            <w:tcBorders>
              <w:bottom w:val="single" w:sz="4" w:space="0" w:color="000000"/>
            </w:tcBorders>
            <w:shd w:val="clear" w:color="auto" w:fill="FFFFFF"/>
          </w:tcPr>
          <w:p w14:paraId="1305A380" w14:textId="77777777" w:rsidR="009120F6" w:rsidRPr="008C112E" w:rsidRDefault="00942291">
            <w:pPr>
              <w:keepNext/>
              <w:pBdr>
                <w:top w:val="nil"/>
                <w:left w:val="nil"/>
                <w:bottom w:val="nil"/>
                <w:right w:val="nil"/>
                <w:between w:val="nil"/>
              </w:pBdr>
              <w:spacing w:before="120" w:after="120"/>
              <w:ind w:left="142"/>
              <w:jc w:val="left"/>
            </w:pPr>
            <w:r w:rsidRPr="008C112E">
              <w:t>30</w:t>
            </w:r>
          </w:p>
        </w:tc>
      </w:tr>
    </w:tbl>
    <w:p w14:paraId="689A6D5A" w14:textId="77777777" w:rsidR="009120F6" w:rsidRDefault="009120F6">
      <w:pPr>
        <w:pBdr>
          <w:top w:val="nil"/>
          <w:left w:val="nil"/>
          <w:bottom w:val="nil"/>
          <w:right w:val="nil"/>
          <w:between w:val="nil"/>
        </w:pBdr>
        <w:spacing w:before="120" w:after="120"/>
        <w:jc w:val="left"/>
      </w:pPr>
    </w:p>
    <w:p w14:paraId="0761F2FC" w14:textId="77777777" w:rsidR="009120F6" w:rsidRDefault="00942291">
      <w:pPr>
        <w:spacing w:before="120" w:after="120"/>
        <w:jc w:val="left"/>
      </w:pPr>
      <w:r>
        <w:br w:type="page"/>
      </w:r>
    </w:p>
    <w:p w14:paraId="53B3667E" w14:textId="77777777" w:rsidR="009120F6" w:rsidRDefault="00942291">
      <w:pPr>
        <w:pBdr>
          <w:top w:val="nil"/>
          <w:left w:val="nil"/>
          <w:bottom w:val="nil"/>
          <w:right w:val="nil"/>
          <w:between w:val="nil"/>
        </w:pBdr>
        <w:spacing w:before="120" w:after="120"/>
        <w:jc w:val="left"/>
        <w:rPr>
          <w:b/>
          <w:sz w:val="36"/>
          <w:szCs w:val="36"/>
        </w:rPr>
      </w:pPr>
      <w:r>
        <w:rPr>
          <w:b/>
          <w:sz w:val="36"/>
          <w:szCs w:val="36"/>
        </w:rPr>
        <w:lastRenderedPageBreak/>
        <w:t>Annex 3: Calculation methodology for Financial Indicators</w:t>
      </w:r>
    </w:p>
    <w:p w14:paraId="6FDB5A9A" w14:textId="77777777" w:rsidR="009120F6" w:rsidRDefault="00942291">
      <w:pPr>
        <w:pBdr>
          <w:top w:val="nil"/>
          <w:left w:val="nil"/>
          <w:bottom w:val="nil"/>
          <w:right w:val="nil"/>
          <w:between w:val="nil"/>
        </w:pBdr>
        <w:spacing w:before="120" w:after="120"/>
        <w:jc w:val="left"/>
      </w:pPr>
      <w:bookmarkStart w:id="31" w:name="_heading=h.qsh70q" w:colFirst="0" w:colLast="0"/>
      <w:bookmarkEnd w:id="31"/>
      <w:r>
        <w:t>The Supplier shall ensure that it uses the following general and specific methodologies for calculating the Financial Indicators against the Financial Target Thresholds:</w:t>
      </w:r>
    </w:p>
    <w:p w14:paraId="4D2FAF85" w14:textId="77777777" w:rsidR="009120F6" w:rsidRDefault="00942291">
      <w:pPr>
        <w:pBdr>
          <w:top w:val="nil"/>
          <w:left w:val="nil"/>
          <w:bottom w:val="nil"/>
          <w:right w:val="nil"/>
          <w:between w:val="nil"/>
        </w:pBdr>
        <w:spacing w:before="120" w:after="120"/>
        <w:jc w:val="left"/>
        <w:rPr>
          <w:b/>
          <w:u w:val="single"/>
        </w:rPr>
      </w:pPr>
      <w:r>
        <w:rPr>
          <w:b/>
          <w:u w:val="single"/>
        </w:rPr>
        <w:t>General methodology</w:t>
      </w:r>
    </w:p>
    <w:p w14:paraId="396D589C" w14:textId="77777777" w:rsidR="009120F6" w:rsidRDefault="00942291">
      <w:pPr>
        <w:numPr>
          <w:ilvl w:val="0"/>
          <w:numId w:val="1"/>
        </w:numPr>
        <w:pBdr>
          <w:top w:val="nil"/>
          <w:left w:val="nil"/>
          <w:bottom w:val="nil"/>
          <w:right w:val="nil"/>
          <w:between w:val="nil"/>
        </w:pBdr>
        <w:spacing w:before="120" w:after="120"/>
        <w:jc w:val="left"/>
      </w:pPr>
      <w:r>
        <w:rPr>
          <w:b/>
          <w:i/>
        </w:rPr>
        <w:t>Terminology</w:t>
      </w:r>
      <w: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2ED239A" w14:textId="77777777" w:rsidR="009120F6" w:rsidRDefault="00942291">
      <w:pPr>
        <w:numPr>
          <w:ilvl w:val="0"/>
          <w:numId w:val="1"/>
        </w:numPr>
        <w:pBdr>
          <w:top w:val="nil"/>
          <w:left w:val="nil"/>
          <w:bottom w:val="nil"/>
          <w:right w:val="nil"/>
          <w:between w:val="nil"/>
        </w:pBdr>
        <w:spacing w:before="120" w:after="120"/>
        <w:jc w:val="left"/>
      </w:pPr>
      <w:bookmarkStart w:id="32" w:name="_heading=h.3as4poj" w:colFirst="0" w:colLast="0"/>
      <w:bookmarkEnd w:id="32"/>
      <w:r>
        <w:rPr>
          <w:b/>
          <w:i/>
        </w:rPr>
        <w:t>Groups</w:t>
      </w:r>
      <w:r>
        <w:t>: Where the entity is the holding company of a group and prepares consolidated financial statements, the consolidated figures should be used.</w:t>
      </w:r>
    </w:p>
    <w:p w14:paraId="4E7B96FF" w14:textId="77777777" w:rsidR="009120F6" w:rsidRDefault="00942291">
      <w:pPr>
        <w:numPr>
          <w:ilvl w:val="0"/>
          <w:numId w:val="1"/>
        </w:numPr>
        <w:pBdr>
          <w:top w:val="nil"/>
          <w:left w:val="nil"/>
          <w:bottom w:val="nil"/>
          <w:right w:val="nil"/>
          <w:between w:val="nil"/>
        </w:pBdr>
        <w:spacing w:before="120" w:after="120"/>
        <w:jc w:val="left"/>
      </w:pPr>
      <w:r>
        <w:rPr>
          <w:b/>
          <w:i/>
        </w:rPr>
        <w:t>Foreign currency conversion</w:t>
      </w:r>
      <w:r>
        <w:t>: Figures denominated in foreign currencies should be converted at the exchange rate in force at the relevant date for which the Financial Indicator is being calculated.</w:t>
      </w:r>
    </w:p>
    <w:p w14:paraId="765C9C7C" w14:textId="77777777" w:rsidR="009120F6" w:rsidRDefault="00942291">
      <w:pPr>
        <w:numPr>
          <w:ilvl w:val="0"/>
          <w:numId w:val="1"/>
        </w:numPr>
        <w:pBdr>
          <w:top w:val="nil"/>
          <w:left w:val="nil"/>
          <w:bottom w:val="nil"/>
          <w:right w:val="nil"/>
          <w:between w:val="nil"/>
        </w:pBdr>
        <w:spacing w:before="120" w:after="120"/>
        <w:jc w:val="left"/>
      </w:pPr>
      <w:r>
        <w:rPr>
          <w:b/>
          <w:i/>
        </w:rPr>
        <w:t>Treatment of non-underlying items</w:t>
      </w:r>
      <w:r>
        <w:t>: Financial Indicators should be based on the figures in the financial statements before adjusting for non-underlying items.</w:t>
      </w:r>
    </w:p>
    <w:p w14:paraId="59EC37CF" w14:textId="77777777" w:rsidR="009120F6" w:rsidRDefault="00942291">
      <w:pPr>
        <w:pBdr>
          <w:top w:val="nil"/>
          <w:left w:val="nil"/>
          <w:bottom w:val="nil"/>
          <w:right w:val="nil"/>
          <w:between w:val="nil"/>
        </w:pBdr>
        <w:spacing w:before="120" w:after="120"/>
        <w:ind w:left="720" w:hanging="720"/>
        <w:jc w:val="left"/>
        <w:rPr>
          <w:b/>
          <w:u w:val="single"/>
        </w:rPr>
      </w:pPr>
      <w:r>
        <w:rPr>
          <w:b/>
          <w:u w:val="single"/>
        </w:rPr>
        <w:t>Specific Methodology</w:t>
      </w:r>
    </w:p>
    <w:p w14:paraId="5625D64A" w14:textId="585B0523" w:rsidR="009120F6" w:rsidRDefault="009120F6">
      <w:pPr>
        <w:pBdr>
          <w:top w:val="nil"/>
          <w:left w:val="nil"/>
          <w:bottom w:val="nil"/>
          <w:right w:val="nil"/>
          <w:between w:val="nil"/>
        </w:pBdr>
        <w:spacing w:before="120" w:after="120"/>
        <w:jc w:val="left"/>
        <w:rPr>
          <w:i/>
          <w:color w:val="000000"/>
          <w:highlight w:val="yellow"/>
        </w:rPr>
      </w:pPr>
    </w:p>
    <w:tbl>
      <w:tblPr>
        <w:tblStyle w:val="ad"/>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9120F6" w14:paraId="2098A3A9" w14:textId="77777777">
        <w:tc>
          <w:tcPr>
            <w:tcW w:w="2538" w:type="dxa"/>
            <w:shd w:val="clear" w:color="auto" w:fill="D9D9D9"/>
          </w:tcPr>
          <w:p w14:paraId="049AC9C6" w14:textId="77777777" w:rsidR="009120F6" w:rsidRDefault="00942291">
            <w:pPr>
              <w:pBdr>
                <w:top w:val="nil"/>
                <w:left w:val="nil"/>
                <w:bottom w:val="nil"/>
                <w:right w:val="nil"/>
                <w:between w:val="nil"/>
              </w:pBdr>
              <w:spacing w:before="120" w:after="120"/>
              <w:jc w:val="left"/>
              <w:rPr>
                <w:b/>
                <w:sz w:val="24"/>
                <w:szCs w:val="24"/>
              </w:rPr>
            </w:pPr>
            <w:r>
              <w:rPr>
                <w:b/>
                <w:sz w:val="24"/>
                <w:szCs w:val="24"/>
              </w:rPr>
              <w:t>Financial Indicator</w:t>
            </w:r>
          </w:p>
        </w:tc>
        <w:tc>
          <w:tcPr>
            <w:tcW w:w="6478" w:type="dxa"/>
            <w:shd w:val="clear" w:color="auto" w:fill="D9D9D9"/>
          </w:tcPr>
          <w:p w14:paraId="413B7231" w14:textId="77777777" w:rsidR="009120F6" w:rsidRDefault="00942291">
            <w:pPr>
              <w:pBdr>
                <w:top w:val="nil"/>
                <w:left w:val="nil"/>
                <w:bottom w:val="nil"/>
                <w:right w:val="nil"/>
                <w:between w:val="nil"/>
              </w:pBdr>
              <w:spacing w:before="120" w:after="120"/>
              <w:jc w:val="left"/>
              <w:rPr>
                <w:sz w:val="24"/>
                <w:szCs w:val="24"/>
              </w:rPr>
            </w:pPr>
            <w:r>
              <w:rPr>
                <w:sz w:val="24"/>
                <w:szCs w:val="24"/>
              </w:rPr>
              <w:t>Specific Methodology</w:t>
            </w:r>
          </w:p>
        </w:tc>
      </w:tr>
      <w:tr w:rsidR="009120F6" w14:paraId="570FCBC9" w14:textId="77777777">
        <w:tc>
          <w:tcPr>
            <w:tcW w:w="2538" w:type="dxa"/>
            <w:vAlign w:val="center"/>
          </w:tcPr>
          <w:p w14:paraId="1ACB466A" w14:textId="77777777" w:rsidR="009120F6" w:rsidRDefault="00942291">
            <w:pPr>
              <w:pBdr>
                <w:top w:val="nil"/>
                <w:left w:val="nil"/>
                <w:bottom w:val="nil"/>
                <w:right w:val="nil"/>
                <w:between w:val="nil"/>
              </w:pBdr>
              <w:spacing w:before="120" w:after="120"/>
              <w:jc w:val="left"/>
              <w:rPr>
                <w:b/>
                <w:sz w:val="24"/>
                <w:szCs w:val="24"/>
              </w:rPr>
            </w:pPr>
            <w:r>
              <w:rPr>
                <w:b/>
                <w:sz w:val="24"/>
                <w:szCs w:val="24"/>
              </w:rPr>
              <w:t>1</w:t>
            </w:r>
          </w:p>
          <w:p w14:paraId="035916F2" w14:textId="77777777" w:rsidR="009120F6" w:rsidRDefault="00942291">
            <w:pPr>
              <w:pBdr>
                <w:top w:val="nil"/>
                <w:left w:val="nil"/>
                <w:bottom w:val="nil"/>
                <w:right w:val="nil"/>
                <w:between w:val="nil"/>
              </w:pBdr>
              <w:spacing w:before="120" w:after="120"/>
              <w:jc w:val="left"/>
              <w:rPr>
                <w:b/>
                <w:sz w:val="24"/>
                <w:szCs w:val="24"/>
              </w:rPr>
            </w:pPr>
            <w:r>
              <w:rPr>
                <w:b/>
                <w:sz w:val="24"/>
                <w:szCs w:val="24"/>
              </w:rPr>
              <w:t>Operating Margin</w:t>
            </w:r>
          </w:p>
        </w:tc>
        <w:tc>
          <w:tcPr>
            <w:tcW w:w="6478" w:type="dxa"/>
          </w:tcPr>
          <w:p w14:paraId="0BD1EB81" w14:textId="77777777" w:rsidR="009120F6" w:rsidRDefault="00942291">
            <w:pPr>
              <w:pBdr>
                <w:top w:val="nil"/>
                <w:left w:val="nil"/>
                <w:bottom w:val="nil"/>
                <w:right w:val="nil"/>
                <w:between w:val="nil"/>
              </w:pBdr>
              <w:spacing w:before="120" w:after="120"/>
              <w:jc w:val="left"/>
              <w:rPr>
                <w:sz w:val="24"/>
                <w:szCs w:val="24"/>
              </w:rPr>
            </w:pPr>
            <w:r>
              <w:rPr>
                <w:sz w:val="24"/>
                <w:szCs w:val="24"/>
              </w:rPr>
              <w:t>The elements used to calculate the Operating Margin should be shown on the face of the Income Statement in a standard set of financial statements.</w:t>
            </w:r>
          </w:p>
          <w:p w14:paraId="0F446013" w14:textId="77777777" w:rsidR="009120F6" w:rsidRDefault="00942291">
            <w:pPr>
              <w:pBdr>
                <w:top w:val="nil"/>
                <w:left w:val="nil"/>
                <w:bottom w:val="nil"/>
                <w:right w:val="nil"/>
                <w:between w:val="nil"/>
              </w:pBdr>
              <w:spacing w:before="120" w:after="120"/>
              <w:jc w:val="left"/>
              <w:rPr>
                <w:sz w:val="24"/>
                <w:szCs w:val="24"/>
              </w:rPr>
            </w:pPr>
            <w:r>
              <w:rPr>
                <w:sz w:val="24"/>
                <w:szCs w:val="24"/>
              </w:rPr>
              <w:t>Figures for Operating Profit and Revenue should exclude the entity’s share of the results of any joint ventures or Associates.</w:t>
            </w:r>
          </w:p>
          <w:p w14:paraId="4D2672D2" w14:textId="77777777" w:rsidR="009120F6" w:rsidRDefault="00942291">
            <w:pPr>
              <w:pBdr>
                <w:top w:val="nil"/>
                <w:left w:val="nil"/>
                <w:bottom w:val="nil"/>
                <w:right w:val="nil"/>
                <w:between w:val="nil"/>
              </w:pBdr>
              <w:spacing w:before="120" w:after="120"/>
              <w:jc w:val="left"/>
              <w:rPr>
                <w:sz w:val="24"/>
                <w:szCs w:val="24"/>
              </w:rPr>
            </w:pPr>
            <w:r>
              <w:rPr>
                <w:sz w:val="24"/>
                <w:szCs w:val="24"/>
              </w:rPr>
              <w:t>Where an entity has an operating loss (</w:t>
            </w:r>
            <w:proofErr w:type="gramStart"/>
            <w:r>
              <w:rPr>
                <w:sz w:val="24"/>
                <w:szCs w:val="24"/>
              </w:rPr>
              <w:t>i.e.</w:t>
            </w:r>
            <w:proofErr w:type="gramEnd"/>
            <w:r>
              <w:rPr>
                <w:sz w:val="24"/>
                <w:szCs w:val="24"/>
              </w:rPr>
              <w:t xml:space="preserve"> where the operating profit is negative), Operating Profit should be taken to be zero.</w:t>
            </w:r>
          </w:p>
        </w:tc>
      </w:tr>
      <w:tr w:rsidR="009120F6" w14:paraId="7B295745" w14:textId="77777777">
        <w:tc>
          <w:tcPr>
            <w:tcW w:w="2538" w:type="dxa"/>
          </w:tcPr>
          <w:p w14:paraId="1409D4A2" w14:textId="77777777" w:rsidR="009120F6" w:rsidRDefault="00942291">
            <w:pPr>
              <w:pBdr>
                <w:top w:val="nil"/>
                <w:left w:val="nil"/>
                <w:bottom w:val="nil"/>
                <w:right w:val="nil"/>
                <w:between w:val="nil"/>
              </w:pBdr>
              <w:spacing w:before="120" w:after="120"/>
              <w:jc w:val="left"/>
              <w:rPr>
                <w:b/>
                <w:sz w:val="24"/>
                <w:szCs w:val="24"/>
              </w:rPr>
            </w:pPr>
            <w:r>
              <w:rPr>
                <w:b/>
                <w:sz w:val="24"/>
                <w:szCs w:val="24"/>
              </w:rPr>
              <w:t>2</w:t>
            </w:r>
          </w:p>
          <w:p w14:paraId="582F12EE" w14:textId="77777777" w:rsidR="009120F6" w:rsidRDefault="00942291">
            <w:pPr>
              <w:pBdr>
                <w:top w:val="nil"/>
                <w:left w:val="nil"/>
                <w:bottom w:val="nil"/>
                <w:right w:val="nil"/>
                <w:between w:val="nil"/>
              </w:pBdr>
              <w:spacing w:before="120" w:after="120"/>
              <w:jc w:val="left"/>
              <w:rPr>
                <w:b/>
                <w:sz w:val="24"/>
                <w:szCs w:val="24"/>
              </w:rPr>
            </w:pPr>
            <w:r>
              <w:rPr>
                <w:b/>
                <w:sz w:val="24"/>
                <w:szCs w:val="24"/>
              </w:rPr>
              <w:t>Free Cash Flow to Net Debt Ratio</w:t>
            </w:r>
          </w:p>
          <w:p w14:paraId="20F62AA0" w14:textId="77777777" w:rsidR="009120F6" w:rsidRDefault="009120F6">
            <w:pPr>
              <w:pBdr>
                <w:top w:val="nil"/>
                <w:left w:val="nil"/>
                <w:bottom w:val="nil"/>
                <w:right w:val="nil"/>
                <w:between w:val="nil"/>
              </w:pBdr>
              <w:spacing w:before="120" w:after="120"/>
              <w:jc w:val="left"/>
              <w:rPr>
                <w:sz w:val="24"/>
                <w:szCs w:val="24"/>
              </w:rPr>
            </w:pPr>
          </w:p>
          <w:p w14:paraId="1ECE00C3" w14:textId="77777777" w:rsidR="009120F6" w:rsidRDefault="009120F6">
            <w:pPr>
              <w:pBdr>
                <w:top w:val="nil"/>
                <w:left w:val="nil"/>
                <w:bottom w:val="nil"/>
                <w:right w:val="nil"/>
                <w:between w:val="nil"/>
              </w:pBdr>
              <w:spacing w:before="120" w:after="120"/>
              <w:jc w:val="left"/>
              <w:rPr>
                <w:sz w:val="24"/>
                <w:szCs w:val="24"/>
              </w:rPr>
            </w:pPr>
          </w:p>
          <w:p w14:paraId="5FFFFB00" w14:textId="77777777" w:rsidR="009120F6" w:rsidRDefault="009120F6">
            <w:pPr>
              <w:pBdr>
                <w:top w:val="nil"/>
                <w:left w:val="nil"/>
                <w:bottom w:val="nil"/>
                <w:right w:val="nil"/>
                <w:between w:val="nil"/>
              </w:pBdr>
              <w:spacing w:before="120" w:after="120"/>
              <w:jc w:val="left"/>
              <w:rPr>
                <w:sz w:val="24"/>
                <w:szCs w:val="24"/>
              </w:rPr>
            </w:pPr>
          </w:p>
          <w:p w14:paraId="7A4D17BF" w14:textId="77777777" w:rsidR="009120F6" w:rsidRDefault="009120F6">
            <w:pPr>
              <w:pBdr>
                <w:top w:val="nil"/>
                <w:left w:val="nil"/>
                <w:bottom w:val="nil"/>
                <w:right w:val="nil"/>
                <w:between w:val="nil"/>
              </w:pBdr>
              <w:spacing w:before="120" w:after="120"/>
              <w:jc w:val="left"/>
              <w:rPr>
                <w:sz w:val="24"/>
                <w:szCs w:val="24"/>
              </w:rPr>
            </w:pPr>
          </w:p>
          <w:p w14:paraId="7A94F80A" w14:textId="77777777" w:rsidR="009120F6" w:rsidRDefault="009120F6">
            <w:pPr>
              <w:pBdr>
                <w:top w:val="nil"/>
                <w:left w:val="nil"/>
                <w:bottom w:val="nil"/>
                <w:right w:val="nil"/>
                <w:between w:val="nil"/>
              </w:pBdr>
              <w:spacing w:before="120" w:after="120"/>
              <w:jc w:val="left"/>
              <w:rPr>
                <w:sz w:val="24"/>
                <w:szCs w:val="24"/>
              </w:rPr>
            </w:pPr>
          </w:p>
          <w:p w14:paraId="3FFC8900" w14:textId="77777777" w:rsidR="009120F6" w:rsidRDefault="009120F6">
            <w:pPr>
              <w:pBdr>
                <w:top w:val="nil"/>
                <w:left w:val="nil"/>
                <w:bottom w:val="nil"/>
                <w:right w:val="nil"/>
                <w:between w:val="nil"/>
              </w:pBdr>
              <w:spacing w:before="120" w:after="120"/>
              <w:jc w:val="left"/>
              <w:rPr>
                <w:sz w:val="24"/>
                <w:szCs w:val="24"/>
              </w:rPr>
            </w:pPr>
          </w:p>
          <w:p w14:paraId="56209818" w14:textId="77777777" w:rsidR="009120F6" w:rsidRDefault="009120F6">
            <w:pPr>
              <w:pBdr>
                <w:top w:val="nil"/>
                <w:left w:val="nil"/>
                <w:bottom w:val="nil"/>
                <w:right w:val="nil"/>
                <w:between w:val="nil"/>
              </w:pBdr>
              <w:spacing w:before="120" w:after="120"/>
              <w:jc w:val="left"/>
              <w:rPr>
                <w:sz w:val="24"/>
                <w:szCs w:val="24"/>
              </w:rPr>
            </w:pPr>
          </w:p>
          <w:p w14:paraId="3B77BB6B" w14:textId="77777777" w:rsidR="009120F6" w:rsidRDefault="009120F6">
            <w:pPr>
              <w:pBdr>
                <w:top w:val="nil"/>
                <w:left w:val="nil"/>
                <w:bottom w:val="nil"/>
                <w:right w:val="nil"/>
                <w:between w:val="nil"/>
              </w:pBdr>
              <w:spacing w:before="120" w:after="120"/>
              <w:jc w:val="left"/>
              <w:rPr>
                <w:sz w:val="24"/>
                <w:szCs w:val="24"/>
              </w:rPr>
            </w:pPr>
          </w:p>
          <w:p w14:paraId="7B5DC485" w14:textId="77777777" w:rsidR="009120F6" w:rsidRDefault="009120F6">
            <w:pPr>
              <w:pBdr>
                <w:top w:val="nil"/>
                <w:left w:val="nil"/>
                <w:bottom w:val="nil"/>
                <w:right w:val="nil"/>
                <w:between w:val="nil"/>
              </w:pBdr>
              <w:spacing w:before="120" w:after="120"/>
              <w:jc w:val="left"/>
              <w:rPr>
                <w:sz w:val="24"/>
                <w:szCs w:val="24"/>
              </w:rPr>
            </w:pPr>
          </w:p>
          <w:p w14:paraId="57491B8D" w14:textId="77777777" w:rsidR="009120F6" w:rsidRDefault="009120F6">
            <w:pPr>
              <w:pBdr>
                <w:top w:val="nil"/>
                <w:left w:val="nil"/>
                <w:bottom w:val="nil"/>
                <w:right w:val="nil"/>
                <w:between w:val="nil"/>
              </w:pBdr>
              <w:spacing w:before="120" w:after="120"/>
              <w:jc w:val="left"/>
              <w:rPr>
                <w:sz w:val="24"/>
                <w:szCs w:val="24"/>
              </w:rPr>
            </w:pPr>
          </w:p>
          <w:p w14:paraId="2AB2C62B" w14:textId="77777777" w:rsidR="009120F6" w:rsidRDefault="009120F6">
            <w:pPr>
              <w:pBdr>
                <w:top w:val="nil"/>
                <w:left w:val="nil"/>
                <w:bottom w:val="nil"/>
                <w:right w:val="nil"/>
                <w:between w:val="nil"/>
              </w:pBdr>
              <w:spacing w:before="120" w:after="120"/>
              <w:jc w:val="left"/>
              <w:rPr>
                <w:sz w:val="24"/>
                <w:szCs w:val="24"/>
              </w:rPr>
            </w:pPr>
          </w:p>
          <w:p w14:paraId="27692036" w14:textId="77777777" w:rsidR="009120F6" w:rsidRDefault="009120F6">
            <w:pPr>
              <w:pBdr>
                <w:top w:val="nil"/>
                <w:left w:val="nil"/>
                <w:bottom w:val="nil"/>
                <w:right w:val="nil"/>
                <w:between w:val="nil"/>
              </w:pBdr>
              <w:spacing w:before="120" w:after="120"/>
              <w:jc w:val="left"/>
              <w:rPr>
                <w:sz w:val="24"/>
                <w:szCs w:val="24"/>
              </w:rPr>
            </w:pPr>
          </w:p>
          <w:p w14:paraId="07058120" w14:textId="77777777" w:rsidR="009120F6" w:rsidRDefault="009120F6">
            <w:pPr>
              <w:pBdr>
                <w:top w:val="nil"/>
                <w:left w:val="nil"/>
                <w:bottom w:val="nil"/>
                <w:right w:val="nil"/>
                <w:between w:val="nil"/>
              </w:pBdr>
              <w:spacing w:before="120" w:after="120"/>
              <w:jc w:val="left"/>
              <w:rPr>
                <w:sz w:val="24"/>
                <w:szCs w:val="24"/>
              </w:rPr>
            </w:pPr>
          </w:p>
          <w:p w14:paraId="7937635E" w14:textId="77777777" w:rsidR="009120F6" w:rsidRDefault="009120F6">
            <w:pPr>
              <w:pBdr>
                <w:top w:val="nil"/>
                <w:left w:val="nil"/>
                <w:bottom w:val="nil"/>
                <w:right w:val="nil"/>
                <w:between w:val="nil"/>
              </w:pBdr>
              <w:spacing w:before="120" w:after="120"/>
              <w:jc w:val="left"/>
              <w:rPr>
                <w:sz w:val="24"/>
                <w:szCs w:val="24"/>
              </w:rPr>
            </w:pPr>
          </w:p>
          <w:p w14:paraId="5CEBF692" w14:textId="77777777" w:rsidR="009120F6" w:rsidRDefault="009120F6">
            <w:pPr>
              <w:pBdr>
                <w:top w:val="nil"/>
                <w:left w:val="nil"/>
                <w:bottom w:val="nil"/>
                <w:right w:val="nil"/>
                <w:between w:val="nil"/>
              </w:pBdr>
              <w:spacing w:before="120" w:after="120"/>
              <w:jc w:val="left"/>
              <w:rPr>
                <w:sz w:val="24"/>
                <w:szCs w:val="24"/>
              </w:rPr>
            </w:pPr>
          </w:p>
          <w:p w14:paraId="635F2EC1" w14:textId="77777777" w:rsidR="009120F6" w:rsidRDefault="009120F6">
            <w:pPr>
              <w:pBdr>
                <w:top w:val="nil"/>
                <w:left w:val="nil"/>
                <w:bottom w:val="nil"/>
                <w:right w:val="nil"/>
                <w:between w:val="nil"/>
              </w:pBdr>
              <w:spacing w:before="120" w:after="120"/>
              <w:jc w:val="left"/>
              <w:rPr>
                <w:sz w:val="24"/>
                <w:szCs w:val="24"/>
              </w:rPr>
            </w:pPr>
          </w:p>
          <w:p w14:paraId="55919BA5" w14:textId="77777777" w:rsidR="009120F6" w:rsidRDefault="009120F6">
            <w:pPr>
              <w:pBdr>
                <w:top w:val="nil"/>
                <w:left w:val="nil"/>
                <w:bottom w:val="nil"/>
                <w:right w:val="nil"/>
                <w:between w:val="nil"/>
              </w:pBdr>
              <w:spacing w:before="120" w:after="120"/>
              <w:jc w:val="left"/>
              <w:rPr>
                <w:sz w:val="24"/>
                <w:szCs w:val="24"/>
              </w:rPr>
            </w:pPr>
          </w:p>
          <w:p w14:paraId="4E0CFA9B" w14:textId="77777777" w:rsidR="009120F6" w:rsidRDefault="009120F6">
            <w:pPr>
              <w:pBdr>
                <w:top w:val="nil"/>
                <w:left w:val="nil"/>
                <w:bottom w:val="nil"/>
                <w:right w:val="nil"/>
                <w:between w:val="nil"/>
              </w:pBdr>
              <w:spacing w:before="120" w:after="120"/>
              <w:jc w:val="left"/>
              <w:rPr>
                <w:sz w:val="24"/>
                <w:szCs w:val="24"/>
              </w:rPr>
            </w:pPr>
          </w:p>
          <w:p w14:paraId="62F6FB33" w14:textId="77777777" w:rsidR="009120F6" w:rsidRDefault="009120F6">
            <w:pPr>
              <w:pBdr>
                <w:top w:val="nil"/>
                <w:left w:val="nil"/>
                <w:bottom w:val="nil"/>
                <w:right w:val="nil"/>
                <w:between w:val="nil"/>
              </w:pBdr>
              <w:spacing w:before="120" w:after="120"/>
              <w:jc w:val="left"/>
              <w:rPr>
                <w:sz w:val="24"/>
                <w:szCs w:val="24"/>
              </w:rPr>
            </w:pPr>
          </w:p>
          <w:p w14:paraId="380FCD23" w14:textId="77777777" w:rsidR="009120F6" w:rsidRDefault="009120F6">
            <w:pPr>
              <w:pBdr>
                <w:top w:val="nil"/>
                <w:left w:val="nil"/>
                <w:bottom w:val="nil"/>
                <w:right w:val="nil"/>
                <w:between w:val="nil"/>
              </w:pBdr>
              <w:spacing w:before="120" w:after="120"/>
              <w:jc w:val="left"/>
              <w:rPr>
                <w:sz w:val="24"/>
                <w:szCs w:val="24"/>
              </w:rPr>
            </w:pPr>
          </w:p>
          <w:p w14:paraId="513D89FC" w14:textId="77777777" w:rsidR="009120F6" w:rsidRDefault="009120F6">
            <w:pPr>
              <w:pBdr>
                <w:top w:val="nil"/>
                <w:left w:val="nil"/>
                <w:bottom w:val="nil"/>
                <w:right w:val="nil"/>
                <w:between w:val="nil"/>
              </w:pBdr>
              <w:spacing w:before="120" w:after="120"/>
              <w:jc w:val="left"/>
              <w:rPr>
                <w:sz w:val="24"/>
                <w:szCs w:val="24"/>
              </w:rPr>
            </w:pPr>
          </w:p>
          <w:p w14:paraId="40E37352" w14:textId="77777777" w:rsidR="009120F6" w:rsidRDefault="009120F6">
            <w:pPr>
              <w:pBdr>
                <w:top w:val="nil"/>
                <w:left w:val="nil"/>
                <w:bottom w:val="nil"/>
                <w:right w:val="nil"/>
                <w:between w:val="nil"/>
              </w:pBdr>
              <w:spacing w:before="120" w:after="120"/>
              <w:jc w:val="left"/>
              <w:rPr>
                <w:sz w:val="24"/>
                <w:szCs w:val="24"/>
              </w:rPr>
            </w:pPr>
          </w:p>
          <w:p w14:paraId="70CBE468" w14:textId="77777777" w:rsidR="009120F6" w:rsidRDefault="009120F6">
            <w:pPr>
              <w:pBdr>
                <w:top w:val="nil"/>
                <w:left w:val="nil"/>
                <w:bottom w:val="nil"/>
                <w:right w:val="nil"/>
                <w:between w:val="nil"/>
              </w:pBdr>
              <w:spacing w:before="120" w:after="120"/>
              <w:jc w:val="left"/>
              <w:rPr>
                <w:sz w:val="24"/>
                <w:szCs w:val="24"/>
              </w:rPr>
            </w:pPr>
          </w:p>
          <w:p w14:paraId="59065EE5" w14:textId="77777777" w:rsidR="009120F6" w:rsidRDefault="009120F6">
            <w:pPr>
              <w:pBdr>
                <w:top w:val="nil"/>
                <w:left w:val="nil"/>
                <w:bottom w:val="nil"/>
                <w:right w:val="nil"/>
                <w:between w:val="nil"/>
              </w:pBdr>
              <w:spacing w:before="120" w:after="120"/>
              <w:jc w:val="left"/>
              <w:rPr>
                <w:sz w:val="24"/>
                <w:szCs w:val="24"/>
              </w:rPr>
            </w:pPr>
          </w:p>
          <w:p w14:paraId="64734D6F" w14:textId="77777777" w:rsidR="009120F6" w:rsidRDefault="009120F6">
            <w:pPr>
              <w:pBdr>
                <w:top w:val="nil"/>
                <w:left w:val="nil"/>
                <w:bottom w:val="nil"/>
                <w:right w:val="nil"/>
                <w:between w:val="nil"/>
              </w:pBdr>
              <w:spacing w:before="120" w:after="120"/>
              <w:jc w:val="left"/>
              <w:rPr>
                <w:sz w:val="24"/>
                <w:szCs w:val="24"/>
              </w:rPr>
            </w:pPr>
          </w:p>
          <w:p w14:paraId="366E77C9" w14:textId="77777777" w:rsidR="009120F6" w:rsidRDefault="009120F6">
            <w:pPr>
              <w:pBdr>
                <w:top w:val="nil"/>
                <w:left w:val="nil"/>
                <w:bottom w:val="nil"/>
                <w:right w:val="nil"/>
                <w:between w:val="nil"/>
              </w:pBdr>
              <w:spacing w:before="120" w:after="120"/>
              <w:jc w:val="left"/>
              <w:rPr>
                <w:sz w:val="24"/>
                <w:szCs w:val="24"/>
              </w:rPr>
            </w:pPr>
          </w:p>
          <w:p w14:paraId="46F63967" w14:textId="77777777" w:rsidR="009120F6" w:rsidRDefault="009120F6">
            <w:pPr>
              <w:pBdr>
                <w:top w:val="nil"/>
                <w:left w:val="nil"/>
                <w:bottom w:val="nil"/>
                <w:right w:val="nil"/>
                <w:between w:val="nil"/>
              </w:pBdr>
              <w:spacing w:before="120" w:after="120"/>
              <w:jc w:val="left"/>
              <w:rPr>
                <w:sz w:val="24"/>
                <w:szCs w:val="24"/>
              </w:rPr>
            </w:pPr>
          </w:p>
          <w:p w14:paraId="6F050705" w14:textId="77777777" w:rsidR="009120F6" w:rsidRDefault="00942291">
            <w:pPr>
              <w:pBdr>
                <w:top w:val="nil"/>
                <w:left w:val="nil"/>
                <w:bottom w:val="nil"/>
                <w:right w:val="nil"/>
                <w:between w:val="nil"/>
              </w:pBdr>
              <w:spacing w:before="120" w:after="120"/>
              <w:jc w:val="left"/>
              <w:rPr>
                <w:b/>
                <w:sz w:val="24"/>
                <w:szCs w:val="24"/>
              </w:rPr>
            </w:pPr>
            <w:r>
              <w:rPr>
                <w:b/>
                <w:sz w:val="24"/>
                <w:szCs w:val="24"/>
              </w:rPr>
              <w:t>OR</w:t>
            </w:r>
          </w:p>
          <w:p w14:paraId="2EEB4C85" w14:textId="77777777" w:rsidR="009120F6" w:rsidRDefault="00942291">
            <w:pPr>
              <w:pBdr>
                <w:top w:val="nil"/>
                <w:left w:val="nil"/>
                <w:bottom w:val="nil"/>
                <w:right w:val="nil"/>
                <w:between w:val="nil"/>
              </w:pBdr>
              <w:spacing w:before="120" w:after="120"/>
              <w:jc w:val="left"/>
              <w:rPr>
                <w:b/>
                <w:sz w:val="24"/>
                <w:szCs w:val="24"/>
              </w:rPr>
            </w:pPr>
            <w:r>
              <w:rPr>
                <w:b/>
                <w:sz w:val="24"/>
                <w:szCs w:val="24"/>
              </w:rPr>
              <w:t>Net Debt to EBITDA Ratio</w:t>
            </w:r>
          </w:p>
        </w:tc>
        <w:tc>
          <w:tcPr>
            <w:tcW w:w="6478" w:type="dxa"/>
          </w:tcPr>
          <w:p w14:paraId="13E34DFB" w14:textId="77777777" w:rsidR="009120F6" w:rsidRDefault="00942291">
            <w:pPr>
              <w:pBdr>
                <w:top w:val="nil"/>
                <w:left w:val="nil"/>
                <w:bottom w:val="nil"/>
                <w:right w:val="nil"/>
                <w:between w:val="nil"/>
              </w:pBdr>
              <w:spacing w:before="120" w:after="120"/>
              <w:jc w:val="left"/>
              <w:rPr>
                <w:i/>
                <w:sz w:val="24"/>
                <w:szCs w:val="24"/>
              </w:rPr>
            </w:pPr>
            <w:r>
              <w:rPr>
                <w:i/>
                <w:sz w:val="24"/>
                <w:szCs w:val="24"/>
              </w:rPr>
              <w:lastRenderedPageBreak/>
              <w:t>“</w:t>
            </w:r>
            <w:r>
              <w:rPr>
                <w:b/>
                <w:i/>
                <w:sz w:val="24"/>
                <w:szCs w:val="24"/>
              </w:rPr>
              <w:t>Free Cash Flow</w:t>
            </w:r>
            <w:r>
              <w:rPr>
                <w:i/>
                <w:sz w:val="24"/>
                <w:szCs w:val="24"/>
              </w:rPr>
              <w:t>” = Net Cash Flow from Operating Activities – Capital Expenditure</w:t>
            </w:r>
          </w:p>
          <w:p w14:paraId="12334A7D" w14:textId="77777777" w:rsidR="009120F6" w:rsidRDefault="00942291">
            <w:pPr>
              <w:pBdr>
                <w:top w:val="nil"/>
                <w:left w:val="nil"/>
                <w:bottom w:val="nil"/>
                <w:right w:val="nil"/>
                <w:between w:val="nil"/>
              </w:pBdr>
              <w:spacing w:before="120" w:after="120"/>
              <w:jc w:val="left"/>
              <w:rPr>
                <w:i/>
                <w:sz w:val="24"/>
                <w:szCs w:val="24"/>
              </w:rPr>
            </w:pPr>
            <w:r>
              <w:rPr>
                <w:i/>
                <w:sz w:val="24"/>
                <w:szCs w:val="24"/>
              </w:rPr>
              <w:t>“</w:t>
            </w:r>
            <w:r>
              <w:rPr>
                <w:b/>
                <w:i/>
                <w:sz w:val="24"/>
                <w:szCs w:val="24"/>
              </w:rPr>
              <w:t>Capital Expenditure</w:t>
            </w:r>
            <w:r>
              <w:rPr>
                <w:i/>
                <w:sz w:val="24"/>
                <w:szCs w:val="24"/>
              </w:rPr>
              <w:t>” = Purchase of property, plant &amp; equipment + purchase of intangible assets</w:t>
            </w:r>
          </w:p>
          <w:p w14:paraId="54BD48A5" w14:textId="77777777" w:rsidR="009120F6" w:rsidRDefault="00942291">
            <w:pPr>
              <w:pBdr>
                <w:top w:val="nil"/>
                <w:left w:val="nil"/>
                <w:bottom w:val="nil"/>
                <w:right w:val="nil"/>
                <w:between w:val="nil"/>
              </w:pBdr>
              <w:spacing w:before="120" w:after="120"/>
              <w:jc w:val="left"/>
              <w:rPr>
                <w:i/>
                <w:sz w:val="24"/>
                <w:szCs w:val="24"/>
              </w:rPr>
            </w:pPr>
            <w:r>
              <w:rPr>
                <w:i/>
                <w:sz w:val="24"/>
                <w:szCs w:val="24"/>
              </w:rPr>
              <w:t>“</w:t>
            </w:r>
            <w:r>
              <w:rPr>
                <w:b/>
                <w:i/>
                <w:sz w:val="24"/>
                <w:szCs w:val="24"/>
              </w:rPr>
              <w:t>Net Debt</w:t>
            </w:r>
            <w:r>
              <w:rPr>
                <w:i/>
                <w:sz w:val="24"/>
                <w:szCs w:val="24"/>
              </w:rPr>
              <w:t>” = Bank overdrafts + Loans and borrowings + Finance Leases + Deferred consideration payable – Cash and cash equivalents</w:t>
            </w:r>
          </w:p>
          <w:p w14:paraId="7C98B45C" w14:textId="77777777" w:rsidR="009120F6" w:rsidRDefault="00942291">
            <w:pPr>
              <w:pBdr>
                <w:top w:val="nil"/>
                <w:left w:val="nil"/>
                <w:bottom w:val="nil"/>
                <w:right w:val="nil"/>
                <w:between w:val="nil"/>
              </w:pBdr>
              <w:spacing w:before="120" w:after="120"/>
              <w:jc w:val="left"/>
              <w:rPr>
                <w:sz w:val="24"/>
                <w:szCs w:val="24"/>
              </w:rPr>
            </w:pPr>
            <w:r>
              <w:rPr>
                <w:sz w:val="24"/>
                <w:szCs w:val="24"/>
              </w:rPr>
              <w:t xml:space="preserve">The majority of the elements used to calculate the Free Cash Flow to Net Debt Ratio should be shown on the face </w:t>
            </w:r>
            <w:r>
              <w:rPr>
                <w:sz w:val="24"/>
                <w:szCs w:val="24"/>
              </w:rPr>
              <w:lastRenderedPageBreak/>
              <w:t>of the Statement of Cash Flows and the Balance Sheet in a standard set of financial statements.</w:t>
            </w:r>
          </w:p>
          <w:p w14:paraId="094C2623" w14:textId="77777777" w:rsidR="009120F6" w:rsidRDefault="00942291">
            <w:pPr>
              <w:pBdr>
                <w:top w:val="nil"/>
                <w:left w:val="nil"/>
                <w:bottom w:val="nil"/>
                <w:right w:val="nil"/>
                <w:between w:val="nil"/>
              </w:pBdr>
              <w:spacing w:before="120" w:after="120"/>
              <w:jc w:val="left"/>
              <w:rPr>
                <w:sz w:val="24"/>
                <w:szCs w:val="24"/>
              </w:rPr>
            </w:pPr>
            <w:r>
              <w:rPr>
                <w:i/>
                <w:sz w:val="24"/>
                <w:szCs w:val="24"/>
                <w:u w:val="single"/>
              </w:rPr>
              <w:t>Net Cash Flow from Operating Activities</w:t>
            </w:r>
            <w:r>
              <w:rPr>
                <w:sz w:val="24"/>
                <w:szCs w:val="24"/>
              </w:rPr>
              <w:t>: This should be stated after deduction of interest and tax paid.</w:t>
            </w:r>
          </w:p>
          <w:p w14:paraId="495FB1CE" w14:textId="77777777" w:rsidR="009120F6" w:rsidRDefault="00942291">
            <w:pPr>
              <w:pBdr>
                <w:top w:val="nil"/>
                <w:left w:val="nil"/>
                <w:bottom w:val="nil"/>
                <w:right w:val="nil"/>
                <w:between w:val="nil"/>
              </w:pBdr>
              <w:spacing w:before="120" w:after="120"/>
              <w:jc w:val="left"/>
              <w:rPr>
                <w:sz w:val="24"/>
                <w:szCs w:val="24"/>
              </w:rPr>
            </w:pPr>
            <w:r>
              <w:rPr>
                <w:i/>
                <w:sz w:val="24"/>
                <w:szCs w:val="24"/>
                <w:u w:val="single"/>
              </w:rPr>
              <w:t>Capital expenditure</w:t>
            </w:r>
            <w:r>
              <w:rPr>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7735024D" w14:textId="77777777" w:rsidR="009120F6" w:rsidRDefault="00942291">
            <w:pPr>
              <w:pBdr>
                <w:top w:val="nil"/>
                <w:left w:val="nil"/>
                <w:bottom w:val="nil"/>
                <w:right w:val="nil"/>
                <w:between w:val="nil"/>
              </w:pBdr>
              <w:spacing w:before="120" w:after="120"/>
              <w:jc w:val="left"/>
              <w:rPr>
                <w:sz w:val="24"/>
                <w:szCs w:val="24"/>
              </w:rPr>
            </w:pPr>
            <w:r>
              <w:rPr>
                <w:i/>
                <w:sz w:val="24"/>
                <w:szCs w:val="24"/>
                <w:u w:val="single"/>
              </w:rPr>
              <w:t>Net Debt</w:t>
            </w:r>
            <w:r>
              <w:rPr>
                <w:sz w:val="24"/>
                <w:szCs w:val="24"/>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w:t>
            </w:r>
            <w:proofErr w:type="gramStart"/>
            <w:r>
              <w:rPr>
                <w:sz w:val="24"/>
                <w:szCs w:val="24"/>
              </w:rPr>
              <w:t>respect  of</w:t>
            </w:r>
            <w:proofErr w:type="gramEnd"/>
            <w:r>
              <w:rPr>
                <w:sz w:val="24"/>
                <w:szCs w:val="24"/>
              </w:rPr>
              <w:t xml:space="preserve"> any hedges designated as linked to borrowings (but not non-designated hedges). Borrowings should also include balances owed to other group members.</w:t>
            </w:r>
          </w:p>
          <w:p w14:paraId="47A63557" w14:textId="77777777" w:rsidR="009120F6" w:rsidRDefault="00942291">
            <w:pPr>
              <w:pBdr>
                <w:top w:val="nil"/>
                <w:left w:val="nil"/>
                <w:bottom w:val="nil"/>
                <w:right w:val="nil"/>
                <w:between w:val="nil"/>
              </w:pBdr>
              <w:spacing w:before="120" w:after="120"/>
              <w:jc w:val="left"/>
              <w:rPr>
                <w:sz w:val="24"/>
                <w:szCs w:val="24"/>
              </w:rPr>
            </w:pPr>
            <w:r>
              <w:rPr>
                <w:sz w:val="24"/>
                <w:szCs w:val="24"/>
              </w:rPr>
              <w:t>Deferred consideration payable should be included in Net Debt despite typically being non-interest bearing.</w:t>
            </w:r>
          </w:p>
          <w:p w14:paraId="4E591DB3" w14:textId="77777777" w:rsidR="009120F6" w:rsidRDefault="00942291">
            <w:pPr>
              <w:pBdr>
                <w:top w:val="nil"/>
                <w:left w:val="nil"/>
                <w:bottom w:val="nil"/>
                <w:right w:val="nil"/>
                <w:between w:val="nil"/>
              </w:pBdr>
              <w:spacing w:before="120" w:after="120"/>
              <w:jc w:val="left"/>
              <w:rPr>
                <w:sz w:val="24"/>
                <w:szCs w:val="24"/>
              </w:rPr>
            </w:pPr>
            <w:r>
              <w:rPr>
                <w:sz w:val="24"/>
                <w:szCs w:val="24"/>
              </w:rPr>
              <w:t>Cash and cash equivalents should include short-term financial investments shown in current assets.</w:t>
            </w:r>
          </w:p>
          <w:p w14:paraId="4BD546BA" w14:textId="77777777" w:rsidR="009120F6" w:rsidRDefault="00942291">
            <w:pPr>
              <w:pBdr>
                <w:top w:val="nil"/>
                <w:left w:val="nil"/>
                <w:bottom w:val="nil"/>
                <w:right w:val="nil"/>
                <w:between w:val="nil"/>
              </w:pBdr>
              <w:spacing w:before="120" w:after="120"/>
              <w:jc w:val="left"/>
              <w:rPr>
                <w:sz w:val="24"/>
                <w:szCs w:val="24"/>
              </w:rPr>
            </w:pPr>
            <w:r>
              <w:rPr>
                <w:sz w:val="24"/>
                <w:szCs w:val="24"/>
              </w:rPr>
              <w:t>Where Net debt is negative (</w:t>
            </w:r>
            <w:proofErr w:type="gramStart"/>
            <w:r>
              <w:rPr>
                <w:sz w:val="24"/>
                <w:szCs w:val="24"/>
              </w:rPr>
              <w:t>i.e.</w:t>
            </w:r>
            <w:proofErr w:type="gramEnd"/>
            <w:r>
              <w:rPr>
                <w:sz w:val="24"/>
                <w:szCs w:val="24"/>
              </w:rPr>
              <w:t xml:space="preserve"> an entity has net cash), the relevant Financial Target Threshold should be treated as having been met.</w:t>
            </w:r>
          </w:p>
          <w:p w14:paraId="50071A39" w14:textId="77777777" w:rsidR="009120F6" w:rsidRDefault="00942291">
            <w:pPr>
              <w:pBdr>
                <w:top w:val="nil"/>
                <w:left w:val="nil"/>
                <w:bottom w:val="nil"/>
                <w:right w:val="nil"/>
                <w:between w:val="nil"/>
              </w:pBdr>
              <w:spacing w:before="120" w:after="120"/>
              <w:jc w:val="left"/>
              <w:rPr>
                <w:sz w:val="24"/>
                <w:szCs w:val="24"/>
              </w:rPr>
            </w:pPr>
            <w:r>
              <w:rPr>
                <w:sz w:val="24"/>
                <w:szCs w:val="24"/>
              </w:rPr>
              <w:t>OR</w:t>
            </w:r>
          </w:p>
          <w:p w14:paraId="3B85CF94" w14:textId="77777777" w:rsidR="009120F6" w:rsidRDefault="00942291">
            <w:pPr>
              <w:pBdr>
                <w:top w:val="nil"/>
                <w:left w:val="nil"/>
                <w:bottom w:val="nil"/>
                <w:right w:val="nil"/>
                <w:between w:val="nil"/>
              </w:pBdr>
              <w:spacing w:before="120" w:after="120"/>
              <w:jc w:val="left"/>
              <w:rPr>
                <w:i/>
                <w:sz w:val="24"/>
                <w:szCs w:val="24"/>
              </w:rPr>
            </w:pPr>
            <w:r>
              <w:rPr>
                <w:i/>
                <w:sz w:val="24"/>
                <w:szCs w:val="24"/>
              </w:rPr>
              <w:t>“</w:t>
            </w:r>
            <w:r>
              <w:rPr>
                <w:b/>
                <w:i/>
                <w:sz w:val="24"/>
                <w:szCs w:val="24"/>
              </w:rPr>
              <w:t>Net Debt</w:t>
            </w:r>
            <w:r>
              <w:rPr>
                <w:i/>
                <w:sz w:val="24"/>
                <w:szCs w:val="24"/>
              </w:rPr>
              <w:t>” = Bank overdrafts + Loans and borrowings + Finance leases + Deferred consideration payable – Cash and cash equivalents</w:t>
            </w:r>
          </w:p>
          <w:p w14:paraId="17793690" w14:textId="77777777" w:rsidR="009120F6" w:rsidRDefault="00942291">
            <w:pPr>
              <w:pBdr>
                <w:top w:val="nil"/>
                <w:left w:val="nil"/>
                <w:bottom w:val="nil"/>
                <w:right w:val="nil"/>
                <w:between w:val="nil"/>
              </w:pBdr>
              <w:spacing w:before="120" w:after="120"/>
              <w:jc w:val="left"/>
              <w:rPr>
                <w:i/>
                <w:sz w:val="24"/>
                <w:szCs w:val="24"/>
              </w:rPr>
            </w:pPr>
            <w:r>
              <w:rPr>
                <w:i/>
                <w:sz w:val="24"/>
                <w:szCs w:val="24"/>
              </w:rPr>
              <w:t>“</w:t>
            </w:r>
            <w:r>
              <w:rPr>
                <w:b/>
                <w:i/>
                <w:sz w:val="24"/>
                <w:szCs w:val="24"/>
              </w:rPr>
              <w:t>EBITDA</w:t>
            </w:r>
            <w:r>
              <w:rPr>
                <w:i/>
                <w:sz w:val="24"/>
                <w:szCs w:val="24"/>
              </w:rPr>
              <w:t>” = Operating profit + Depreciation charge + Amortisation charge</w:t>
            </w:r>
          </w:p>
          <w:p w14:paraId="202EE4F7" w14:textId="77777777" w:rsidR="009120F6" w:rsidRDefault="00942291">
            <w:pPr>
              <w:pBdr>
                <w:top w:val="nil"/>
                <w:left w:val="nil"/>
                <w:bottom w:val="nil"/>
                <w:right w:val="nil"/>
                <w:between w:val="nil"/>
              </w:pBdr>
              <w:spacing w:before="120" w:after="120"/>
              <w:jc w:val="left"/>
              <w:rPr>
                <w:sz w:val="24"/>
                <w:szCs w:val="24"/>
              </w:rPr>
            </w:pPr>
            <w:r>
              <w:rPr>
                <w:sz w:val="24"/>
                <w:szCs w:val="24"/>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4212A97A" w14:textId="77777777" w:rsidR="009120F6" w:rsidRDefault="00942291">
            <w:pPr>
              <w:pBdr>
                <w:top w:val="nil"/>
                <w:left w:val="nil"/>
                <w:bottom w:val="nil"/>
                <w:right w:val="nil"/>
                <w:between w:val="nil"/>
              </w:pBdr>
              <w:spacing w:before="120" w:after="120"/>
              <w:jc w:val="left"/>
              <w:rPr>
                <w:sz w:val="24"/>
                <w:szCs w:val="24"/>
              </w:rPr>
            </w:pPr>
            <w:r>
              <w:rPr>
                <w:i/>
                <w:sz w:val="24"/>
                <w:szCs w:val="24"/>
                <w:u w:val="single"/>
              </w:rPr>
              <w:t>Net Debt</w:t>
            </w:r>
            <w:r>
              <w:rPr>
                <w:sz w:val="24"/>
                <w:szCs w:val="24"/>
              </w:rPr>
              <w:t xml:space="preserve">: The elements of Net Debt may be described slightly differently and should be found either on the face of the Balance Sheet or in the relevant note to the financial statements. All </w:t>
            </w:r>
            <w:proofErr w:type="gramStart"/>
            <w:r>
              <w:rPr>
                <w:sz w:val="24"/>
                <w:szCs w:val="24"/>
              </w:rPr>
              <w:t>interest bearing</w:t>
            </w:r>
            <w:proofErr w:type="gramEnd"/>
            <w:r>
              <w:rPr>
                <w:sz w:val="24"/>
                <w:szCs w:val="24"/>
              </w:rPr>
              <w:t xml:space="preserve"> liabilities (other than </w:t>
            </w:r>
            <w:r>
              <w:rPr>
                <w:sz w:val="24"/>
                <w:szCs w:val="24"/>
              </w:rPr>
              <w:lastRenderedPageBreak/>
              <w:t>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60FC8DAD" w14:textId="77777777" w:rsidR="009120F6" w:rsidRDefault="00942291">
            <w:pPr>
              <w:pBdr>
                <w:top w:val="nil"/>
                <w:left w:val="nil"/>
                <w:bottom w:val="nil"/>
                <w:right w:val="nil"/>
                <w:between w:val="nil"/>
              </w:pBdr>
              <w:spacing w:before="120" w:after="120"/>
              <w:jc w:val="left"/>
              <w:rPr>
                <w:sz w:val="24"/>
                <w:szCs w:val="24"/>
              </w:rPr>
            </w:pPr>
            <w:r>
              <w:rPr>
                <w:sz w:val="24"/>
                <w:szCs w:val="24"/>
              </w:rPr>
              <w:t>Deferred consideration payable should be included in Net Debt despite typically being non-interest bearing.</w:t>
            </w:r>
          </w:p>
          <w:p w14:paraId="53D41650" w14:textId="77777777" w:rsidR="009120F6" w:rsidRDefault="00942291">
            <w:pPr>
              <w:pBdr>
                <w:top w:val="nil"/>
                <w:left w:val="nil"/>
                <w:bottom w:val="nil"/>
                <w:right w:val="nil"/>
                <w:between w:val="nil"/>
              </w:pBdr>
              <w:spacing w:before="120" w:after="120"/>
              <w:jc w:val="left"/>
              <w:rPr>
                <w:sz w:val="24"/>
                <w:szCs w:val="24"/>
              </w:rPr>
            </w:pPr>
            <w:r>
              <w:rPr>
                <w:sz w:val="24"/>
                <w:szCs w:val="24"/>
              </w:rPr>
              <w:t>Cash and cash equivalents should include short-term financial investments shown in current assets.</w:t>
            </w:r>
          </w:p>
          <w:p w14:paraId="0A68ED8E" w14:textId="77777777" w:rsidR="009120F6" w:rsidRDefault="00942291">
            <w:pPr>
              <w:pBdr>
                <w:top w:val="nil"/>
                <w:left w:val="nil"/>
                <w:bottom w:val="nil"/>
                <w:right w:val="nil"/>
                <w:between w:val="nil"/>
              </w:pBdr>
              <w:spacing w:before="120" w:after="120"/>
              <w:jc w:val="left"/>
              <w:rPr>
                <w:sz w:val="24"/>
                <w:szCs w:val="24"/>
              </w:rPr>
            </w:pPr>
            <w:r>
              <w:rPr>
                <w:sz w:val="24"/>
                <w:szCs w:val="24"/>
              </w:rPr>
              <w:t>Where Net debt is negative (</w:t>
            </w:r>
            <w:proofErr w:type="gramStart"/>
            <w:r>
              <w:rPr>
                <w:sz w:val="24"/>
                <w:szCs w:val="24"/>
              </w:rPr>
              <w:t>i.e.</w:t>
            </w:r>
            <w:proofErr w:type="gramEnd"/>
            <w:r>
              <w:rPr>
                <w:sz w:val="24"/>
                <w:szCs w:val="24"/>
              </w:rPr>
              <w:t xml:space="preserve"> an entity has net cash), the relevant Financial Target Threshold should be treated as having been met. </w:t>
            </w:r>
          </w:p>
          <w:p w14:paraId="766E290A" w14:textId="77777777" w:rsidR="009120F6" w:rsidRDefault="00942291">
            <w:pPr>
              <w:pBdr>
                <w:top w:val="nil"/>
                <w:left w:val="nil"/>
                <w:bottom w:val="nil"/>
                <w:right w:val="nil"/>
                <w:between w:val="nil"/>
              </w:pBdr>
              <w:spacing w:before="120" w:after="120"/>
              <w:jc w:val="left"/>
              <w:rPr>
                <w:i/>
                <w:sz w:val="24"/>
                <w:szCs w:val="24"/>
              </w:rPr>
            </w:pPr>
            <w:bookmarkStart w:id="33" w:name="_heading=h.1pxezwc" w:colFirst="0" w:colLast="0"/>
            <w:bookmarkEnd w:id="33"/>
            <w:r>
              <w:rPr>
                <w:i/>
                <w:sz w:val="24"/>
                <w:szCs w:val="24"/>
                <w:u w:val="single"/>
              </w:rPr>
              <w:t>EBITDA</w:t>
            </w:r>
            <w:r>
              <w:rPr>
                <w:sz w:val="24"/>
                <w:szCs w:val="24"/>
              </w:rPr>
              <w:t xml:space="preserve">: Operating profit should be shown on the face of the Income Statement and, for the purposes of calculating this Financial Indicator, should include the entity’s share of the results of any joint ventures or Associates. </w:t>
            </w:r>
            <w:r>
              <w:rPr>
                <w:i/>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9120F6" w14:paraId="1BF27415" w14:textId="77777777">
        <w:tc>
          <w:tcPr>
            <w:tcW w:w="2538" w:type="dxa"/>
          </w:tcPr>
          <w:p w14:paraId="7C05EEF8" w14:textId="77777777" w:rsidR="009120F6" w:rsidRDefault="00942291">
            <w:pPr>
              <w:pBdr>
                <w:top w:val="nil"/>
                <w:left w:val="nil"/>
                <w:bottom w:val="nil"/>
                <w:right w:val="nil"/>
                <w:between w:val="nil"/>
              </w:pBdr>
              <w:spacing w:before="120" w:after="120"/>
              <w:jc w:val="left"/>
              <w:rPr>
                <w:b/>
                <w:sz w:val="24"/>
                <w:szCs w:val="24"/>
              </w:rPr>
            </w:pPr>
            <w:r>
              <w:rPr>
                <w:b/>
                <w:sz w:val="24"/>
                <w:szCs w:val="24"/>
              </w:rPr>
              <w:lastRenderedPageBreak/>
              <w:t>3</w:t>
            </w:r>
          </w:p>
          <w:p w14:paraId="0AAD9882" w14:textId="77777777" w:rsidR="009120F6" w:rsidRDefault="00942291">
            <w:pPr>
              <w:pBdr>
                <w:top w:val="nil"/>
                <w:left w:val="nil"/>
                <w:bottom w:val="nil"/>
                <w:right w:val="nil"/>
                <w:between w:val="nil"/>
              </w:pBdr>
              <w:spacing w:before="120" w:after="120"/>
              <w:jc w:val="left"/>
              <w:rPr>
                <w:b/>
                <w:sz w:val="24"/>
                <w:szCs w:val="24"/>
              </w:rPr>
            </w:pPr>
            <w:r>
              <w:rPr>
                <w:b/>
                <w:sz w:val="24"/>
                <w:szCs w:val="24"/>
              </w:rPr>
              <w:t xml:space="preserve">Net Debt + </w:t>
            </w:r>
            <w:proofErr w:type="gramStart"/>
            <w:r>
              <w:rPr>
                <w:b/>
                <w:sz w:val="24"/>
                <w:szCs w:val="24"/>
              </w:rPr>
              <w:t>Net  Pension</w:t>
            </w:r>
            <w:proofErr w:type="gramEnd"/>
            <w:r>
              <w:rPr>
                <w:b/>
                <w:sz w:val="24"/>
                <w:szCs w:val="24"/>
              </w:rPr>
              <w:t xml:space="preserve"> Deficit to EBITDA ratio</w:t>
            </w:r>
          </w:p>
        </w:tc>
        <w:tc>
          <w:tcPr>
            <w:tcW w:w="6478" w:type="dxa"/>
          </w:tcPr>
          <w:p w14:paraId="40C062CE" w14:textId="77777777" w:rsidR="009120F6" w:rsidRDefault="00942291">
            <w:pPr>
              <w:pBdr>
                <w:top w:val="nil"/>
                <w:left w:val="nil"/>
                <w:bottom w:val="nil"/>
                <w:right w:val="nil"/>
                <w:between w:val="nil"/>
              </w:pBdr>
              <w:spacing w:before="120" w:after="120"/>
              <w:jc w:val="left"/>
              <w:rPr>
                <w:i/>
                <w:sz w:val="24"/>
                <w:szCs w:val="24"/>
              </w:rPr>
            </w:pPr>
            <w:r>
              <w:rPr>
                <w:i/>
                <w:sz w:val="24"/>
                <w:szCs w:val="24"/>
              </w:rPr>
              <w:t>“</w:t>
            </w:r>
            <w:r>
              <w:rPr>
                <w:b/>
                <w:i/>
                <w:sz w:val="24"/>
                <w:szCs w:val="24"/>
              </w:rPr>
              <w:t>Net Debt</w:t>
            </w:r>
            <w:r>
              <w:rPr>
                <w:i/>
                <w:sz w:val="24"/>
                <w:szCs w:val="24"/>
              </w:rPr>
              <w:t>” = Bank overdrafts + Loans and borrowings + Finance leases + Deferred consideration payable – Cash and cash equivalents</w:t>
            </w:r>
          </w:p>
          <w:p w14:paraId="2F9B5FCA" w14:textId="77777777" w:rsidR="009120F6" w:rsidRDefault="00942291">
            <w:pPr>
              <w:pBdr>
                <w:top w:val="nil"/>
                <w:left w:val="nil"/>
                <w:bottom w:val="nil"/>
                <w:right w:val="nil"/>
                <w:between w:val="nil"/>
              </w:pBdr>
              <w:spacing w:before="120" w:after="120"/>
              <w:jc w:val="left"/>
              <w:rPr>
                <w:i/>
                <w:sz w:val="24"/>
                <w:szCs w:val="24"/>
              </w:rPr>
            </w:pPr>
            <w:r>
              <w:rPr>
                <w:i/>
                <w:sz w:val="24"/>
                <w:szCs w:val="24"/>
              </w:rPr>
              <w:t>“</w:t>
            </w:r>
            <w:r>
              <w:rPr>
                <w:b/>
                <w:i/>
                <w:sz w:val="24"/>
                <w:szCs w:val="24"/>
              </w:rPr>
              <w:t>Net Pension Deficit</w:t>
            </w:r>
            <w:r>
              <w:rPr>
                <w:i/>
                <w:sz w:val="24"/>
                <w:szCs w:val="24"/>
              </w:rPr>
              <w:t>” = Retirement Benefit Obligations – Retirement Benefit Assets</w:t>
            </w:r>
          </w:p>
          <w:p w14:paraId="76B691E2" w14:textId="77777777" w:rsidR="009120F6" w:rsidRDefault="00942291">
            <w:pPr>
              <w:pBdr>
                <w:top w:val="nil"/>
                <w:left w:val="nil"/>
                <w:bottom w:val="nil"/>
                <w:right w:val="nil"/>
                <w:between w:val="nil"/>
              </w:pBdr>
              <w:spacing w:before="120" w:after="120"/>
              <w:jc w:val="left"/>
              <w:rPr>
                <w:i/>
                <w:sz w:val="24"/>
                <w:szCs w:val="24"/>
              </w:rPr>
            </w:pPr>
            <w:r>
              <w:rPr>
                <w:i/>
                <w:sz w:val="24"/>
                <w:szCs w:val="24"/>
              </w:rPr>
              <w:t>“</w:t>
            </w:r>
            <w:r>
              <w:rPr>
                <w:b/>
                <w:i/>
                <w:sz w:val="24"/>
                <w:szCs w:val="24"/>
              </w:rPr>
              <w:t>EBITDA</w:t>
            </w:r>
            <w:r>
              <w:rPr>
                <w:i/>
                <w:sz w:val="24"/>
                <w:szCs w:val="24"/>
              </w:rPr>
              <w:t>” = Operating profit + Depreciation charge + Amortisation charge</w:t>
            </w:r>
          </w:p>
          <w:p w14:paraId="55079292" w14:textId="77777777" w:rsidR="009120F6" w:rsidRDefault="00942291">
            <w:pPr>
              <w:pBdr>
                <w:top w:val="nil"/>
                <w:left w:val="nil"/>
                <w:bottom w:val="nil"/>
                <w:right w:val="nil"/>
                <w:between w:val="nil"/>
              </w:pBdr>
              <w:spacing w:before="120" w:after="120"/>
              <w:jc w:val="left"/>
              <w:rPr>
                <w:sz w:val="24"/>
                <w:szCs w:val="24"/>
              </w:rPr>
            </w:pPr>
            <w:r>
              <w:rPr>
                <w:sz w:val="24"/>
                <w:szCs w:val="24"/>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1E8ED477" w14:textId="77777777" w:rsidR="009120F6" w:rsidRDefault="00942291">
            <w:pPr>
              <w:pBdr>
                <w:top w:val="nil"/>
                <w:left w:val="nil"/>
                <w:bottom w:val="nil"/>
                <w:right w:val="nil"/>
                <w:between w:val="nil"/>
              </w:pBdr>
              <w:spacing w:before="120" w:after="120"/>
              <w:jc w:val="left"/>
              <w:rPr>
                <w:sz w:val="24"/>
                <w:szCs w:val="24"/>
              </w:rPr>
            </w:pPr>
            <w:r>
              <w:rPr>
                <w:i/>
                <w:sz w:val="24"/>
                <w:szCs w:val="24"/>
                <w:u w:val="single"/>
              </w:rPr>
              <w:t>Net Debt</w:t>
            </w:r>
            <w:r>
              <w:rPr>
                <w:sz w:val="24"/>
                <w:szCs w:val="24"/>
              </w:rPr>
              <w:t xml:space="preserve">: The elements of Net Debt may be described slightly differently and should be found either on the face of the Balance Sheet or in the relevant note to the financial statements. All </w:t>
            </w:r>
            <w:proofErr w:type="gramStart"/>
            <w:r>
              <w:rPr>
                <w:sz w:val="24"/>
                <w:szCs w:val="24"/>
              </w:rPr>
              <w:t>interest bearing</w:t>
            </w:r>
            <w:proofErr w:type="gramEnd"/>
            <w:r>
              <w:rPr>
                <w:sz w:val="24"/>
                <w:szCs w:val="24"/>
              </w:rPr>
              <w:t xml:space="preserve"> liabilities (other than retirement benefit obligations) should be included as borrowings as should, where disclosed, any liabilities (less any assets) in respect of any hedges designated as linked to borrowings (but </w:t>
            </w:r>
            <w:r>
              <w:rPr>
                <w:i/>
                <w:sz w:val="24"/>
                <w:szCs w:val="24"/>
              </w:rPr>
              <w:t>not</w:t>
            </w:r>
            <w:r>
              <w:rPr>
                <w:sz w:val="24"/>
                <w:szCs w:val="24"/>
              </w:rPr>
              <w:t xml:space="preserve"> non-designated hedges). </w:t>
            </w:r>
            <w:r>
              <w:rPr>
                <w:sz w:val="24"/>
                <w:szCs w:val="24"/>
              </w:rPr>
              <w:lastRenderedPageBreak/>
              <w:t>Borrowings should also include balances owed to other group members.</w:t>
            </w:r>
          </w:p>
          <w:p w14:paraId="6879A282" w14:textId="77777777" w:rsidR="009120F6" w:rsidRDefault="00942291">
            <w:pPr>
              <w:pBdr>
                <w:top w:val="nil"/>
                <w:left w:val="nil"/>
                <w:bottom w:val="nil"/>
                <w:right w:val="nil"/>
                <w:between w:val="nil"/>
              </w:pBdr>
              <w:spacing w:before="120" w:after="120"/>
              <w:jc w:val="left"/>
              <w:rPr>
                <w:sz w:val="24"/>
                <w:szCs w:val="24"/>
              </w:rPr>
            </w:pPr>
            <w:r>
              <w:rPr>
                <w:sz w:val="24"/>
                <w:szCs w:val="24"/>
              </w:rPr>
              <w:t>Deferred consideration payable should be included in Net Debt despite typically being non-interest bearing.</w:t>
            </w:r>
          </w:p>
          <w:p w14:paraId="1D5C47CB" w14:textId="77777777" w:rsidR="009120F6" w:rsidRDefault="00942291">
            <w:pPr>
              <w:pBdr>
                <w:top w:val="nil"/>
                <w:left w:val="nil"/>
                <w:bottom w:val="nil"/>
                <w:right w:val="nil"/>
                <w:between w:val="nil"/>
              </w:pBdr>
              <w:spacing w:before="120" w:after="120"/>
              <w:jc w:val="left"/>
              <w:rPr>
                <w:sz w:val="24"/>
                <w:szCs w:val="24"/>
              </w:rPr>
            </w:pPr>
            <w:r>
              <w:rPr>
                <w:sz w:val="24"/>
                <w:szCs w:val="24"/>
              </w:rPr>
              <w:t>Cash and cash equivalents should include short-term financial investments shown in current assets.</w:t>
            </w:r>
          </w:p>
          <w:p w14:paraId="783B062B" w14:textId="77777777" w:rsidR="009120F6" w:rsidRDefault="00942291">
            <w:pPr>
              <w:pBdr>
                <w:top w:val="nil"/>
                <w:left w:val="nil"/>
                <w:bottom w:val="nil"/>
                <w:right w:val="nil"/>
                <w:between w:val="nil"/>
              </w:pBdr>
              <w:spacing w:before="120" w:after="120"/>
              <w:jc w:val="left"/>
              <w:rPr>
                <w:sz w:val="24"/>
                <w:szCs w:val="24"/>
              </w:rPr>
            </w:pPr>
            <w:r>
              <w:rPr>
                <w:i/>
                <w:sz w:val="24"/>
                <w:szCs w:val="24"/>
                <w:u w:val="single"/>
              </w:rPr>
              <w:t>Net Pension Deficit</w:t>
            </w:r>
            <w:r>
              <w:rPr>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0B688E25" w14:textId="77777777" w:rsidR="009120F6" w:rsidRDefault="00942291">
            <w:pPr>
              <w:pBdr>
                <w:top w:val="nil"/>
                <w:left w:val="nil"/>
                <w:bottom w:val="nil"/>
                <w:right w:val="nil"/>
                <w:between w:val="nil"/>
              </w:pBdr>
              <w:spacing w:before="120" w:after="120"/>
              <w:jc w:val="left"/>
              <w:rPr>
                <w:sz w:val="24"/>
                <w:szCs w:val="24"/>
              </w:rPr>
            </w:pPr>
            <w:r>
              <w:rPr>
                <w:sz w:val="24"/>
                <w:szCs w:val="24"/>
              </w:rPr>
              <w:t>Where ‘Net Debt + Net Pension Deficit’ is negative, the relevant Financial Target Threshold should be treated as having been met.</w:t>
            </w:r>
          </w:p>
          <w:p w14:paraId="4521D1EC" w14:textId="77777777" w:rsidR="009120F6" w:rsidRDefault="00942291">
            <w:pPr>
              <w:pBdr>
                <w:top w:val="nil"/>
                <w:left w:val="nil"/>
                <w:bottom w:val="nil"/>
                <w:right w:val="nil"/>
                <w:between w:val="nil"/>
              </w:pBdr>
              <w:spacing w:before="120" w:after="120"/>
              <w:jc w:val="left"/>
              <w:rPr>
                <w:sz w:val="24"/>
                <w:szCs w:val="24"/>
              </w:rPr>
            </w:pPr>
            <w:r>
              <w:rPr>
                <w:i/>
                <w:sz w:val="24"/>
                <w:szCs w:val="24"/>
                <w:u w:val="single"/>
              </w:rPr>
              <w:t>EBITDA</w:t>
            </w:r>
            <w:r>
              <w:rPr>
                <w:sz w:val="24"/>
                <w:szCs w:val="24"/>
              </w:rPr>
              <w:t>: Operating profit should be shown on the face of the Income Statement and, for the purposes of calculating this Financial Indicator, should include the entity’s share of the results of any joint ventures or Associates.</w:t>
            </w:r>
          </w:p>
          <w:p w14:paraId="3D7F1237" w14:textId="77777777" w:rsidR="009120F6" w:rsidRDefault="00942291">
            <w:pPr>
              <w:pBdr>
                <w:top w:val="nil"/>
                <w:left w:val="nil"/>
                <w:bottom w:val="nil"/>
                <w:right w:val="nil"/>
                <w:between w:val="nil"/>
              </w:pBdr>
              <w:spacing w:before="120" w:after="120"/>
              <w:jc w:val="left"/>
              <w:rPr>
                <w:sz w:val="24"/>
                <w:szCs w:val="24"/>
              </w:rPr>
            </w:pPr>
            <w:bookmarkStart w:id="34" w:name="_heading=h.49x2ik5" w:colFirst="0" w:colLast="0"/>
            <w:bookmarkEnd w:id="34"/>
            <w:r>
              <w:rPr>
                <w:sz w:val="24"/>
                <w:szCs w:val="24"/>
              </w:rPr>
              <w:t xml:space="preserve">The depreciation and amortisation charges for the period may be found on the face of the Statement of Cash Flows or in a Note to the Accounts. </w:t>
            </w:r>
          </w:p>
          <w:p w14:paraId="4EEAACC2" w14:textId="77777777" w:rsidR="009120F6" w:rsidRDefault="00942291">
            <w:pPr>
              <w:pBdr>
                <w:top w:val="nil"/>
                <w:left w:val="nil"/>
                <w:bottom w:val="nil"/>
                <w:right w:val="nil"/>
                <w:between w:val="nil"/>
              </w:pBdr>
              <w:spacing w:before="120" w:after="120"/>
              <w:jc w:val="left"/>
              <w:rPr>
                <w:sz w:val="24"/>
                <w:szCs w:val="24"/>
              </w:rPr>
            </w:pPr>
            <w:r>
              <w:rPr>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9120F6" w14:paraId="0DA4A5A1" w14:textId="77777777">
        <w:tc>
          <w:tcPr>
            <w:tcW w:w="2538" w:type="dxa"/>
            <w:vAlign w:val="center"/>
          </w:tcPr>
          <w:p w14:paraId="3F5C08CB" w14:textId="77777777" w:rsidR="009120F6" w:rsidRDefault="00942291">
            <w:pPr>
              <w:pBdr>
                <w:top w:val="nil"/>
                <w:left w:val="nil"/>
                <w:bottom w:val="nil"/>
                <w:right w:val="nil"/>
                <w:between w:val="nil"/>
              </w:pBdr>
              <w:spacing w:before="120" w:after="120"/>
              <w:jc w:val="left"/>
              <w:rPr>
                <w:b/>
                <w:sz w:val="24"/>
                <w:szCs w:val="24"/>
              </w:rPr>
            </w:pPr>
            <w:r>
              <w:rPr>
                <w:b/>
                <w:sz w:val="24"/>
                <w:szCs w:val="24"/>
              </w:rPr>
              <w:lastRenderedPageBreak/>
              <w:t>4</w:t>
            </w:r>
          </w:p>
          <w:p w14:paraId="48CA324E" w14:textId="77777777" w:rsidR="009120F6" w:rsidRDefault="00942291">
            <w:pPr>
              <w:pBdr>
                <w:top w:val="nil"/>
                <w:left w:val="nil"/>
                <w:bottom w:val="nil"/>
                <w:right w:val="nil"/>
                <w:between w:val="nil"/>
              </w:pBdr>
              <w:spacing w:before="120" w:after="120"/>
              <w:jc w:val="left"/>
              <w:rPr>
                <w:b/>
                <w:sz w:val="24"/>
                <w:szCs w:val="24"/>
              </w:rPr>
            </w:pPr>
            <w:r>
              <w:rPr>
                <w:b/>
                <w:sz w:val="24"/>
                <w:szCs w:val="24"/>
              </w:rPr>
              <w:t>Net Interest Paid Cover</w:t>
            </w:r>
          </w:p>
        </w:tc>
        <w:tc>
          <w:tcPr>
            <w:tcW w:w="6478" w:type="dxa"/>
          </w:tcPr>
          <w:p w14:paraId="0FF8BD05" w14:textId="77777777" w:rsidR="009120F6" w:rsidRDefault="00942291">
            <w:pPr>
              <w:pBdr>
                <w:top w:val="nil"/>
                <w:left w:val="nil"/>
                <w:bottom w:val="nil"/>
                <w:right w:val="nil"/>
                <w:between w:val="nil"/>
              </w:pBdr>
              <w:spacing w:before="120" w:after="120"/>
              <w:jc w:val="left"/>
              <w:rPr>
                <w:i/>
                <w:sz w:val="24"/>
                <w:szCs w:val="24"/>
              </w:rPr>
            </w:pPr>
            <w:r>
              <w:rPr>
                <w:i/>
                <w:sz w:val="24"/>
                <w:szCs w:val="24"/>
              </w:rPr>
              <w:t>“</w:t>
            </w:r>
            <w:r>
              <w:rPr>
                <w:b/>
                <w:i/>
                <w:sz w:val="24"/>
                <w:szCs w:val="24"/>
              </w:rPr>
              <w:t>Earnings Before Interest and Tax</w:t>
            </w:r>
            <w:r>
              <w:rPr>
                <w:i/>
                <w:sz w:val="24"/>
                <w:szCs w:val="24"/>
              </w:rPr>
              <w:t>” = Operating profit</w:t>
            </w:r>
          </w:p>
          <w:p w14:paraId="547824C2" w14:textId="77777777" w:rsidR="009120F6" w:rsidRDefault="00942291">
            <w:pPr>
              <w:pBdr>
                <w:top w:val="nil"/>
                <w:left w:val="nil"/>
                <w:bottom w:val="nil"/>
                <w:right w:val="nil"/>
                <w:between w:val="nil"/>
              </w:pBdr>
              <w:spacing w:before="120" w:after="120"/>
              <w:jc w:val="left"/>
              <w:rPr>
                <w:i/>
                <w:sz w:val="24"/>
                <w:szCs w:val="24"/>
              </w:rPr>
            </w:pPr>
            <w:r>
              <w:rPr>
                <w:i/>
                <w:sz w:val="24"/>
                <w:szCs w:val="24"/>
              </w:rPr>
              <w:t>“</w:t>
            </w:r>
            <w:r>
              <w:rPr>
                <w:b/>
                <w:i/>
                <w:sz w:val="24"/>
                <w:szCs w:val="24"/>
              </w:rPr>
              <w:t>Net Interest Paid</w:t>
            </w:r>
            <w:r>
              <w:rPr>
                <w:i/>
                <w:sz w:val="24"/>
                <w:szCs w:val="24"/>
              </w:rPr>
              <w:t>” = Interest paid – Interest received</w:t>
            </w:r>
          </w:p>
          <w:p w14:paraId="20270C4E" w14:textId="77777777" w:rsidR="009120F6" w:rsidRDefault="00942291">
            <w:pPr>
              <w:pBdr>
                <w:top w:val="nil"/>
                <w:left w:val="nil"/>
                <w:bottom w:val="nil"/>
                <w:right w:val="nil"/>
                <w:between w:val="nil"/>
              </w:pBdr>
              <w:spacing w:before="120" w:after="120"/>
              <w:jc w:val="left"/>
              <w:rPr>
                <w:sz w:val="24"/>
                <w:szCs w:val="24"/>
              </w:rPr>
            </w:pPr>
            <w:r>
              <w:rPr>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150FE069" w14:textId="77777777" w:rsidR="009120F6" w:rsidRDefault="00942291">
            <w:pPr>
              <w:pBdr>
                <w:top w:val="nil"/>
                <w:left w:val="nil"/>
                <w:bottom w:val="nil"/>
                <w:right w:val="nil"/>
                <w:between w:val="nil"/>
              </w:pBdr>
              <w:spacing w:before="120" w:after="120"/>
              <w:jc w:val="left"/>
              <w:rPr>
                <w:sz w:val="24"/>
                <w:szCs w:val="24"/>
              </w:rPr>
            </w:pPr>
            <w:r>
              <w:rPr>
                <w:sz w:val="24"/>
                <w:szCs w:val="24"/>
              </w:rPr>
              <w:t>Interest received and interest paid should be shown on the face of the Cash Flow statement.</w:t>
            </w:r>
          </w:p>
          <w:p w14:paraId="1D20C7FB" w14:textId="77777777" w:rsidR="009120F6" w:rsidRDefault="00942291">
            <w:pPr>
              <w:pBdr>
                <w:top w:val="nil"/>
                <w:left w:val="nil"/>
                <w:bottom w:val="nil"/>
                <w:right w:val="nil"/>
                <w:between w:val="nil"/>
              </w:pBdr>
              <w:spacing w:before="120" w:after="120"/>
              <w:jc w:val="left"/>
              <w:rPr>
                <w:sz w:val="24"/>
                <w:szCs w:val="24"/>
              </w:rPr>
            </w:pPr>
            <w:r>
              <w:rPr>
                <w:sz w:val="24"/>
                <w:szCs w:val="24"/>
              </w:rPr>
              <w:t>Where Net interest paid is negative (</w:t>
            </w:r>
            <w:proofErr w:type="gramStart"/>
            <w:r>
              <w:rPr>
                <w:sz w:val="24"/>
                <w:szCs w:val="24"/>
              </w:rPr>
              <w:t>i.e.</w:t>
            </w:r>
            <w:proofErr w:type="gramEnd"/>
            <w:r>
              <w:rPr>
                <w:sz w:val="24"/>
                <w:szCs w:val="24"/>
              </w:rPr>
              <w:t xml:space="preserve"> the entity has net interest received), the relevant Financial Target Threshold should be treated as having been met.</w:t>
            </w:r>
          </w:p>
        </w:tc>
      </w:tr>
      <w:tr w:rsidR="009120F6" w14:paraId="11885237" w14:textId="77777777">
        <w:tc>
          <w:tcPr>
            <w:tcW w:w="2538" w:type="dxa"/>
            <w:vAlign w:val="center"/>
          </w:tcPr>
          <w:p w14:paraId="0072C2DF" w14:textId="77777777" w:rsidR="009120F6" w:rsidRDefault="00942291">
            <w:pPr>
              <w:pBdr>
                <w:top w:val="nil"/>
                <w:left w:val="nil"/>
                <w:bottom w:val="nil"/>
                <w:right w:val="nil"/>
                <w:between w:val="nil"/>
              </w:pBdr>
              <w:spacing w:before="120" w:after="120"/>
              <w:jc w:val="left"/>
              <w:rPr>
                <w:b/>
                <w:sz w:val="24"/>
                <w:szCs w:val="24"/>
              </w:rPr>
            </w:pPr>
            <w:r>
              <w:rPr>
                <w:b/>
                <w:sz w:val="24"/>
                <w:szCs w:val="24"/>
              </w:rPr>
              <w:t>5</w:t>
            </w:r>
          </w:p>
          <w:p w14:paraId="4DAA8D06" w14:textId="77777777" w:rsidR="009120F6" w:rsidRDefault="00942291">
            <w:pPr>
              <w:pBdr>
                <w:top w:val="nil"/>
                <w:left w:val="nil"/>
                <w:bottom w:val="nil"/>
                <w:right w:val="nil"/>
                <w:between w:val="nil"/>
              </w:pBdr>
              <w:spacing w:before="120" w:after="120"/>
              <w:jc w:val="left"/>
              <w:rPr>
                <w:b/>
                <w:sz w:val="24"/>
                <w:szCs w:val="24"/>
              </w:rPr>
            </w:pPr>
            <w:r>
              <w:rPr>
                <w:b/>
                <w:sz w:val="24"/>
                <w:szCs w:val="24"/>
              </w:rPr>
              <w:t>Acid Ratio</w:t>
            </w:r>
          </w:p>
        </w:tc>
        <w:tc>
          <w:tcPr>
            <w:tcW w:w="6478" w:type="dxa"/>
          </w:tcPr>
          <w:p w14:paraId="22F0F8DF" w14:textId="77777777" w:rsidR="009120F6" w:rsidRDefault="00942291">
            <w:pPr>
              <w:pBdr>
                <w:top w:val="nil"/>
                <w:left w:val="nil"/>
                <w:bottom w:val="nil"/>
                <w:right w:val="nil"/>
                <w:between w:val="nil"/>
              </w:pBdr>
              <w:spacing w:before="120" w:after="120"/>
              <w:jc w:val="left"/>
              <w:rPr>
                <w:sz w:val="24"/>
                <w:szCs w:val="24"/>
              </w:rPr>
            </w:pPr>
            <w:r>
              <w:rPr>
                <w:sz w:val="24"/>
                <w:szCs w:val="24"/>
              </w:rPr>
              <w:t>All elements that are used to calculate the Acid Ratio are available on the face of the Balance Sheet in a standard set of financial statements.</w:t>
            </w:r>
          </w:p>
        </w:tc>
      </w:tr>
      <w:tr w:rsidR="009120F6" w14:paraId="190C5C48" w14:textId="77777777">
        <w:tc>
          <w:tcPr>
            <w:tcW w:w="2538" w:type="dxa"/>
            <w:vAlign w:val="center"/>
          </w:tcPr>
          <w:p w14:paraId="35C6BB3B" w14:textId="77777777" w:rsidR="009120F6" w:rsidRDefault="00942291">
            <w:pPr>
              <w:pBdr>
                <w:top w:val="nil"/>
                <w:left w:val="nil"/>
                <w:bottom w:val="nil"/>
                <w:right w:val="nil"/>
                <w:between w:val="nil"/>
              </w:pBdr>
              <w:spacing w:before="120" w:after="120"/>
              <w:jc w:val="left"/>
              <w:rPr>
                <w:b/>
                <w:sz w:val="24"/>
                <w:szCs w:val="24"/>
              </w:rPr>
            </w:pPr>
            <w:r>
              <w:rPr>
                <w:b/>
                <w:sz w:val="24"/>
                <w:szCs w:val="24"/>
              </w:rPr>
              <w:lastRenderedPageBreak/>
              <w:t>6</w:t>
            </w:r>
          </w:p>
          <w:p w14:paraId="2409A991" w14:textId="77777777" w:rsidR="009120F6" w:rsidRDefault="00942291">
            <w:pPr>
              <w:pBdr>
                <w:top w:val="nil"/>
                <w:left w:val="nil"/>
                <w:bottom w:val="nil"/>
                <w:right w:val="nil"/>
                <w:between w:val="nil"/>
              </w:pBdr>
              <w:spacing w:before="120" w:after="120"/>
              <w:jc w:val="left"/>
              <w:rPr>
                <w:b/>
                <w:sz w:val="24"/>
                <w:szCs w:val="24"/>
              </w:rPr>
            </w:pPr>
            <w:r>
              <w:rPr>
                <w:b/>
                <w:sz w:val="24"/>
                <w:szCs w:val="24"/>
              </w:rPr>
              <w:t>Net Asset value</w:t>
            </w:r>
          </w:p>
        </w:tc>
        <w:tc>
          <w:tcPr>
            <w:tcW w:w="6478" w:type="dxa"/>
          </w:tcPr>
          <w:p w14:paraId="21BADF11" w14:textId="77777777" w:rsidR="009120F6" w:rsidRDefault="00942291">
            <w:pPr>
              <w:pBdr>
                <w:top w:val="nil"/>
                <w:left w:val="nil"/>
                <w:bottom w:val="nil"/>
                <w:right w:val="nil"/>
                <w:between w:val="nil"/>
              </w:pBdr>
              <w:spacing w:before="120" w:after="120"/>
              <w:jc w:val="left"/>
              <w:rPr>
                <w:sz w:val="24"/>
                <w:szCs w:val="24"/>
              </w:rPr>
            </w:pPr>
            <w:r>
              <w:rPr>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w:t>
            </w:r>
            <w:proofErr w:type="gramStart"/>
            <w:r>
              <w:rPr>
                <w:sz w:val="24"/>
                <w:szCs w:val="24"/>
              </w:rPr>
              <w:t>i.e.</w:t>
            </w:r>
            <w:proofErr w:type="gramEnd"/>
            <w:r>
              <w:rPr>
                <w:sz w:val="24"/>
                <w:szCs w:val="24"/>
              </w:rPr>
              <w:t xml:space="preserve"> where it has a subsidiary partially owned by outside investors), Net Assets should be taken inclusive of minority or non-controlling interests (as if the entity owned 100% of such entity).</w:t>
            </w:r>
          </w:p>
        </w:tc>
      </w:tr>
      <w:tr w:rsidR="009120F6" w14:paraId="10049CB4" w14:textId="77777777">
        <w:tc>
          <w:tcPr>
            <w:tcW w:w="2538" w:type="dxa"/>
            <w:vAlign w:val="center"/>
          </w:tcPr>
          <w:p w14:paraId="0A3CE61D" w14:textId="77777777" w:rsidR="009120F6" w:rsidRDefault="00942291">
            <w:pPr>
              <w:pBdr>
                <w:top w:val="nil"/>
                <w:left w:val="nil"/>
                <w:bottom w:val="nil"/>
                <w:right w:val="nil"/>
                <w:between w:val="nil"/>
              </w:pBdr>
              <w:spacing w:before="120" w:after="120"/>
              <w:jc w:val="left"/>
              <w:rPr>
                <w:b/>
                <w:sz w:val="24"/>
                <w:szCs w:val="24"/>
              </w:rPr>
            </w:pPr>
            <w:r>
              <w:rPr>
                <w:b/>
                <w:sz w:val="24"/>
                <w:szCs w:val="24"/>
              </w:rPr>
              <w:t>7</w:t>
            </w:r>
          </w:p>
          <w:p w14:paraId="5D54A39A" w14:textId="77777777" w:rsidR="009120F6" w:rsidRDefault="00942291">
            <w:pPr>
              <w:pBdr>
                <w:top w:val="nil"/>
                <w:left w:val="nil"/>
                <w:bottom w:val="nil"/>
                <w:right w:val="nil"/>
                <w:between w:val="nil"/>
              </w:pBdr>
              <w:spacing w:before="120" w:after="120"/>
              <w:jc w:val="left"/>
              <w:rPr>
                <w:b/>
                <w:sz w:val="24"/>
                <w:szCs w:val="24"/>
              </w:rPr>
            </w:pPr>
            <w:r>
              <w:rPr>
                <w:b/>
                <w:sz w:val="24"/>
                <w:szCs w:val="24"/>
              </w:rPr>
              <w:t>Group Exposure Ratio</w:t>
            </w:r>
          </w:p>
        </w:tc>
        <w:tc>
          <w:tcPr>
            <w:tcW w:w="6478" w:type="dxa"/>
          </w:tcPr>
          <w:p w14:paraId="13152636" w14:textId="77777777" w:rsidR="009120F6" w:rsidRDefault="00942291">
            <w:pPr>
              <w:pBdr>
                <w:top w:val="nil"/>
                <w:left w:val="nil"/>
                <w:bottom w:val="nil"/>
                <w:right w:val="nil"/>
                <w:between w:val="nil"/>
              </w:pBdr>
              <w:spacing w:before="120" w:after="120"/>
              <w:jc w:val="left"/>
              <w:rPr>
                <w:i/>
                <w:sz w:val="24"/>
                <w:szCs w:val="24"/>
              </w:rPr>
            </w:pPr>
            <w:r>
              <w:rPr>
                <w:i/>
                <w:sz w:val="24"/>
                <w:szCs w:val="24"/>
              </w:rPr>
              <w:t>“</w:t>
            </w:r>
            <w:r>
              <w:rPr>
                <w:b/>
                <w:i/>
                <w:sz w:val="24"/>
                <w:szCs w:val="24"/>
              </w:rPr>
              <w:t>Group Exposure</w:t>
            </w:r>
            <w:r>
              <w:rPr>
                <w:i/>
                <w:sz w:val="24"/>
                <w:szCs w:val="24"/>
              </w:rPr>
              <w:t>” = Balances owed by Group Undertakings + Contingent liabilities assumed in support of Group Undertakings</w:t>
            </w:r>
          </w:p>
          <w:p w14:paraId="2D67A23C" w14:textId="77777777" w:rsidR="009120F6" w:rsidRDefault="00942291">
            <w:pPr>
              <w:pBdr>
                <w:top w:val="nil"/>
                <w:left w:val="nil"/>
                <w:bottom w:val="nil"/>
                <w:right w:val="nil"/>
                <w:between w:val="nil"/>
              </w:pBdr>
              <w:spacing w:before="120" w:after="120"/>
              <w:jc w:val="left"/>
              <w:rPr>
                <w:i/>
                <w:sz w:val="24"/>
                <w:szCs w:val="24"/>
              </w:rPr>
            </w:pPr>
            <w:r>
              <w:rPr>
                <w:i/>
                <w:sz w:val="24"/>
                <w:szCs w:val="24"/>
              </w:rPr>
              <w:t>“</w:t>
            </w:r>
            <w:r>
              <w:rPr>
                <w:b/>
                <w:i/>
                <w:sz w:val="24"/>
                <w:szCs w:val="24"/>
              </w:rPr>
              <w:t>Gross Assets</w:t>
            </w:r>
            <w:r>
              <w:rPr>
                <w:i/>
                <w:sz w:val="24"/>
                <w:szCs w:val="24"/>
              </w:rPr>
              <w:t>” = Fixed Assets + Current Assets</w:t>
            </w:r>
          </w:p>
          <w:p w14:paraId="7BC7AF9C" w14:textId="77777777" w:rsidR="009120F6" w:rsidRDefault="00942291">
            <w:pPr>
              <w:pBdr>
                <w:top w:val="nil"/>
                <w:left w:val="nil"/>
                <w:bottom w:val="nil"/>
                <w:right w:val="nil"/>
                <w:between w:val="nil"/>
              </w:pBdr>
              <w:spacing w:before="120" w:after="120"/>
              <w:jc w:val="left"/>
              <w:rPr>
                <w:sz w:val="24"/>
                <w:szCs w:val="24"/>
              </w:rPr>
            </w:pPr>
            <w:r>
              <w:rPr>
                <w:i/>
                <w:sz w:val="24"/>
                <w:szCs w:val="24"/>
                <w:u w:val="single"/>
              </w:rPr>
              <w:t>Group Exposure</w:t>
            </w:r>
            <w:r>
              <w:rPr>
                <w:sz w:val="24"/>
                <w:szCs w:val="24"/>
              </w:rPr>
              <w:t>:  Balances owed by (</w:t>
            </w:r>
            <w:proofErr w:type="spellStart"/>
            <w:proofErr w:type="gramStart"/>
            <w:r>
              <w:rPr>
                <w:sz w:val="24"/>
                <w:szCs w:val="24"/>
              </w:rPr>
              <w:t>ie</w:t>
            </w:r>
            <w:proofErr w:type="spellEnd"/>
            <w:proofErr w:type="gramEnd"/>
            <w:r>
              <w:rPr>
                <w:sz w:val="24"/>
                <w:szCs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36A8EF61" w14:textId="77777777" w:rsidR="009120F6" w:rsidRDefault="00942291">
            <w:pPr>
              <w:pBdr>
                <w:top w:val="nil"/>
                <w:left w:val="nil"/>
                <w:bottom w:val="nil"/>
                <w:right w:val="nil"/>
                <w:between w:val="nil"/>
              </w:pBdr>
              <w:spacing w:before="120" w:after="120"/>
              <w:jc w:val="left"/>
              <w:rPr>
                <w:sz w:val="24"/>
                <w:szCs w:val="24"/>
              </w:rPr>
            </w:pPr>
            <w:r>
              <w:rPr>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09F431E3" w14:textId="77777777" w:rsidR="009120F6" w:rsidRDefault="00942291">
            <w:pPr>
              <w:pBdr>
                <w:top w:val="nil"/>
                <w:left w:val="nil"/>
                <w:bottom w:val="nil"/>
                <w:right w:val="nil"/>
                <w:between w:val="nil"/>
              </w:pBdr>
              <w:spacing w:before="120" w:after="120"/>
              <w:jc w:val="left"/>
              <w:rPr>
                <w:sz w:val="24"/>
                <w:szCs w:val="24"/>
              </w:rPr>
            </w:pPr>
            <w:r>
              <w:rPr>
                <w:sz w:val="24"/>
                <w:szCs w:val="24"/>
              </w:rPr>
              <w:t>In many cases an entity may not have assumed any contingent liabilities in support of Group Undertakings, in particular where an entity is not a member of a group or is itself the ultimate holding company of the group.</w:t>
            </w:r>
          </w:p>
          <w:p w14:paraId="782A762D" w14:textId="77777777" w:rsidR="009120F6" w:rsidRDefault="00942291">
            <w:pPr>
              <w:pBdr>
                <w:top w:val="nil"/>
                <w:left w:val="nil"/>
                <w:bottom w:val="nil"/>
                <w:right w:val="nil"/>
                <w:between w:val="nil"/>
              </w:pBdr>
              <w:spacing w:before="120" w:after="120"/>
              <w:jc w:val="left"/>
              <w:rPr>
                <w:sz w:val="24"/>
                <w:szCs w:val="24"/>
              </w:rPr>
            </w:pPr>
            <w:r>
              <w:rPr>
                <w:i/>
                <w:sz w:val="24"/>
                <w:szCs w:val="24"/>
                <w:u w:val="single"/>
              </w:rPr>
              <w:t>Gross Assets</w:t>
            </w:r>
            <w:r>
              <w:rPr>
                <w:sz w:val="24"/>
                <w:szCs w:val="24"/>
              </w:rPr>
              <w:t>: Both Fixed assets and Current assets are shown on the face of the Balance Sheet</w:t>
            </w:r>
          </w:p>
        </w:tc>
      </w:tr>
    </w:tbl>
    <w:p w14:paraId="1BFC5EB7" w14:textId="77777777" w:rsidR="009120F6" w:rsidRDefault="009120F6">
      <w:pPr>
        <w:pBdr>
          <w:top w:val="nil"/>
          <w:left w:val="nil"/>
          <w:bottom w:val="nil"/>
          <w:right w:val="nil"/>
          <w:between w:val="nil"/>
        </w:pBdr>
        <w:spacing w:before="120" w:after="120"/>
        <w:jc w:val="left"/>
      </w:pPr>
    </w:p>
    <w:p w14:paraId="3BCA443C" w14:textId="77777777" w:rsidR="009120F6" w:rsidRDefault="00942291">
      <w:pPr>
        <w:spacing w:before="120" w:after="120"/>
        <w:jc w:val="left"/>
      </w:pPr>
      <w:r>
        <w:br w:type="page"/>
      </w:r>
    </w:p>
    <w:p w14:paraId="59A87CA6" w14:textId="77777777" w:rsidR="009120F6" w:rsidRDefault="00942291">
      <w:pPr>
        <w:pBdr>
          <w:top w:val="nil"/>
          <w:left w:val="nil"/>
          <w:bottom w:val="nil"/>
          <w:right w:val="nil"/>
          <w:between w:val="nil"/>
        </w:pBdr>
        <w:spacing w:before="120" w:after="120"/>
        <w:jc w:val="left"/>
        <w:rPr>
          <w:b/>
          <w:sz w:val="36"/>
          <w:szCs w:val="36"/>
        </w:rPr>
      </w:pPr>
      <w:bookmarkStart w:id="35" w:name="_heading=h.2p2csry" w:colFirst="0" w:colLast="0"/>
      <w:bookmarkEnd w:id="35"/>
      <w:r>
        <w:rPr>
          <w:b/>
          <w:sz w:val="36"/>
          <w:szCs w:val="36"/>
        </w:rPr>
        <w:lastRenderedPageBreak/>
        <w:t>Annex 4: Board Confirmation</w:t>
      </w:r>
    </w:p>
    <w:p w14:paraId="2FC2D7C1" w14:textId="77777777" w:rsidR="009120F6" w:rsidRDefault="009120F6">
      <w:pPr>
        <w:pBdr>
          <w:top w:val="nil"/>
          <w:left w:val="nil"/>
          <w:bottom w:val="nil"/>
          <w:right w:val="nil"/>
          <w:between w:val="nil"/>
        </w:pBdr>
        <w:spacing w:before="120" w:after="120"/>
        <w:jc w:val="left"/>
      </w:pPr>
    </w:p>
    <w:p w14:paraId="60DBCCB8" w14:textId="77777777" w:rsidR="009120F6" w:rsidRDefault="00942291">
      <w:pPr>
        <w:pBdr>
          <w:top w:val="nil"/>
          <w:left w:val="nil"/>
          <w:bottom w:val="nil"/>
          <w:right w:val="nil"/>
          <w:between w:val="nil"/>
        </w:pBdr>
        <w:spacing w:before="120" w:after="120"/>
        <w:jc w:val="left"/>
        <w:rPr>
          <w:b/>
        </w:rPr>
      </w:pPr>
      <w:r>
        <w:rPr>
          <w:b/>
        </w:rPr>
        <w:t>Supplier Name:</w:t>
      </w:r>
    </w:p>
    <w:p w14:paraId="6B49A53A" w14:textId="77777777" w:rsidR="009120F6" w:rsidRDefault="00942291">
      <w:pPr>
        <w:pBdr>
          <w:top w:val="nil"/>
          <w:left w:val="nil"/>
          <w:bottom w:val="nil"/>
          <w:right w:val="nil"/>
          <w:between w:val="nil"/>
        </w:pBdr>
        <w:spacing w:before="120" w:after="120"/>
        <w:jc w:val="left"/>
        <w:rPr>
          <w:b/>
        </w:rPr>
      </w:pPr>
      <w:r>
        <w:rPr>
          <w:b/>
        </w:rPr>
        <w:t>Contract Reference Number:</w:t>
      </w:r>
    </w:p>
    <w:p w14:paraId="0354A1FA" w14:textId="77777777" w:rsidR="009120F6" w:rsidRDefault="009120F6">
      <w:pPr>
        <w:pBdr>
          <w:top w:val="nil"/>
          <w:left w:val="nil"/>
          <w:bottom w:val="nil"/>
          <w:right w:val="nil"/>
          <w:between w:val="nil"/>
        </w:pBdr>
        <w:spacing w:before="120" w:after="120"/>
        <w:jc w:val="left"/>
      </w:pPr>
    </w:p>
    <w:p w14:paraId="60D6A9B1" w14:textId="77777777" w:rsidR="009120F6" w:rsidRDefault="00942291">
      <w:pPr>
        <w:pBdr>
          <w:top w:val="nil"/>
          <w:left w:val="nil"/>
          <w:bottom w:val="nil"/>
          <w:right w:val="nil"/>
          <w:between w:val="nil"/>
        </w:pBdr>
        <w:spacing w:before="120" w:after="120"/>
        <w:ind w:left="720"/>
        <w:jc w:val="left"/>
      </w:pPr>
      <w:bookmarkStart w:id="36" w:name="_heading=h.147n2zr" w:colFirst="0" w:colLast="0"/>
      <w:bookmarkEnd w:id="36"/>
      <w:r>
        <w:t>The Board of Directors acknowledge the requirements set out at paragraph 8 of Joint Schedule 7 (</w:t>
      </w:r>
      <w:r>
        <w:rPr>
          <w:i/>
        </w:rPr>
        <w:t>Financial Distress</w:t>
      </w:r>
      <w:r>
        <w:t>) and confirm that the Supplier has exercised due care and diligence and made reasonable enquiry of all relevant Supplier Staff and other persons as is reasonably necessary to enable the Board to prepare this statement.</w:t>
      </w:r>
    </w:p>
    <w:p w14:paraId="2638DC26" w14:textId="77777777" w:rsidR="009120F6" w:rsidRDefault="00942291">
      <w:pPr>
        <w:pBdr>
          <w:top w:val="nil"/>
          <w:left w:val="nil"/>
          <w:bottom w:val="nil"/>
          <w:right w:val="nil"/>
          <w:between w:val="nil"/>
        </w:pBdr>
        <w:spacing w:before="120" w:after="120"/>
        <w:ind w:left="720"/>
        <w:jc w:val="left"/>
      </w:pPr>
      <w:r>
        <w:t>The Board of Directors confirms, to the best of its knowledge and belief, that as at the date of this Board Confirmation it is not aware of and has no knowledge:</w:t>
      </w:r>
    </w:p>
    <w:p w14:paraId="6E62570C" w14:textId="77777777" w:rsidR="009120F6" w:rsidRDefault="00942291">
      <w:pPr>
        <w:numPr>
          <w:ilvl w:val="3"/>
          <w:numId w:val="1"/>
        </w:numPr>
        <w:pBdr>
          <w:top w:val="nil"/>
          <w:left w:val="nil"/>
          <w:bottom w:val="nil"/>
          <w:right w:val="nil"/>
          <w:between w:val="nil"/>
        </w:pBdr>
        <w:tabs>
          <w:tab w:val="left" w:pos="720"/>
          <w:tab w:val="left" w:pos="1803"/>
        </w:tabs>
        <w:spacing w:before="120" w:after="120"/>
        <w:jc w:val="left"/>
      </w:pPr>
      <w:r>
        <w:t>that a Financial Distress Event has occurred since the later of the previous Board Confirmation and the Effective Date or is subsisting; or</w:t>
      </w:r>
    </w:p>
    <w:p w14:paraId="4DB25EDF" w14:textId="77777777" w:rsidR="009120F6" w:rsidRDefault="00942291">
      <w:pPr>
        <w:numPr>
          <w:ilvl w:val="3"/>
          <w:numId w:val="1"/>
        </w:numPr>
        <w:pBdr>
          <w:top w:val="nil"/>
          <w:left w:val="nil"/>
          <w:bottom w:val="nil"/>
          <w:right w:val="nil"/>
          <w:between w:val="nil"/>
        </w:pBdr>
        <w:tabs>
          <w:tab w:val="left" w:pos="720"/>
          <w:tab w:val="left" w:pos="1803"/>
        </w:tabs>
        <w:spacing w:before="120" w:after="120"/>
        <w:jc w:val="left"/>
      </w:pPr>
      <w:r>
        <w:t>of any matters which have occurred or are subsisting that could reasonably be expected to cause a Financial Distress Event</w:t>
      </w:r>
    </w:p>
    <w:p w14:paraId="4EEE600F" w14:textId="77777777" w:rsidR="009120F6" w:rsidRDefault="009120F6">
      <w:pPr>
        <w:pBdr>
          <w:top w:val="nil"/>
          <w:left w:val="nil"/>
          <w:bottom w:val="nil"/>
          <w:right w:val="nil"/>
          <w:between w:val="nil"/>
        </w:pBdr>
        <w:spacing w:before="120" w:after="120"/>
        <w:jc w:val="left"/>
      </w:pPr>
    </w:p>
    <w:p w14:paraId="29E8117E" w14:textId="77777777" w:rsidR="009120F6" w:rsidRDefault="00942291">
      <w:pPr>
        <w:pBdr>
          <w:top w:val="nil"/>
          <w:left w:val="nil"/>
          <w:bottom w:val="nil"/>
          <w:right w:val="nil"/>
          <w:between w:val="nil"/>
        </w:pBdr>
        <w:spacing w:before="120" w:after="120"/>
        <w:ind w:left="720"/>
        <w:jc w:val="left"/>
      </w:pPr>
      <w:r>
        <w:t>On behalf of the Board of Directors:</w:t>
      </w:r>
    </w:p>
    <w:p w14:paraId="46F3D3C8" w14:textId="77777777" w:rsidR="009120F6" w:rsidRDefault="009120F6">
      <w:pPr>
        <w:pBdr>
          <w:top w:val="nil"/>
          <w:left w:val="nil"/>
          <w:bottom w:val="nil"/>
          <w:right w:val="nil"/>
          <w:between w:val="nil"/>
        </w:pBdr>
        <w:spacing w:before="120" w:after="120"/>
        <w:jc w:val="left"/>
      </w:pPr>
    </w:p>
    <w:p w14:paraId="131084AA" w14:textId="77777777" w:rsidR="009120F6" w:rsidRDefault="00942291">
      <w:pPr>
        <w:pBdr>
          <w:top w:val="nil"/>
          <w:left w:val="nil"/>
          <w:bottom w:val="nil"/>
          <w:right w:val="nil"/>
          <w:between w:val="nil"/>
        </w:pBdr>
        <w:spacing w:before="120" w:after="120"/>
        <w:ind w:left="1803"/>
        <w:jc w:val="left"/>
      </w:pPr>
      <w:r>
        <w:t>Chair</w:t>
      </w:r>
      <w:r>
        <w:tab/>
      </w:r>
      <w:r>
        <w:tab/>
        <w:t>…………………………………</w:t>
      </w:r>
    </w:p>
    <w:p w14:paraId="7BBE1B89" w14:textId="77777777" w:rsidR="009120F6" w:rsidRDefault="00942291">
      <w:pPr>
        <w:pBdr>
          <w:top w:val="nil"/>
          <w:left w:val="nil"/>
          <w:bottom w:val="nil"/>
          <w:right w:val="nil"/>
          <w:between w:val="nil"/>
        </w:pBdr>
        <w:spacing w:before="120" w:after="120"/>
        <w:ind w:left="1803"/>
        <w:jc w:val="left"/>
      </w:pPr>
      <w:r>
        <w:t>Signed</w:t>
      </w:r>
      <w:r>
        <w:tab/>
      </w:r>
      <w:r>
        <w:tab/>
        <w:t>…………………………………</w:t>
      </w:r>
    </w:p>
    <w:p w14:paraId="4733564C" w14:textId="77777777" w:rsidR="009120F6" w:rsidRDefault="00942291">
      <w:pPr>
        <w:pBdr>
          <w:top w:val="nil"/>
          <w:left w:val="nil"/>
          <w:bottom w:val="nil"/>
          <w:right w:val="nil"/>
          <w:between w:val="nil"/>
        </w:pBdr>
        <w:spacing w:before="120" w:after="120"/>
        <w:ind w:left="1803"/>
        <w:jc w:val="left"/>
      </w:pPr>
      <w:r>
        <w:t>Date</w:t>
      </w:r>
      <w:r>
        <w:tab/>
      </w:r>
      <w:r>
        <w:tab/>
        <w:t>…………………………………</w:t>
      </w:r>
    </w:p>
    <w:p w14:paraId="17828172" w14:textId="77777777" w:rsidR="009120F6" w:rsidRDefault="009120F6">
      <w:pPr>
        <w:pBdr>
          <w:top w:val="nil"/>
          <w:left w:val="nil"/>
          <w:bottom w:val="nil"/>
          <w:right w:val="nil"/>
          <w:between w:val="nil"/>
        </w:pBdr>
        <w:spacing w:before="120" w:after="120"/>
        <w:jc w:val="left"/>
      </w:pPr>
    </w:p>
    <w:p w14:paraId="04ACB21B" w14:textId="77777777" w:rsidR="009120F6" w:rsidRDefault="00942291">
      <w:pPr>
        <w:pBdr>
          <w:top w:val="nil"/>
          <w:left w:val="nil"/>
          <w:bottom w:val="nil"/>
          <w:right w:val="nil"/>
          <w:between w:val="nil"/>
        </w:pBdr>
        <w:spacing w:before="120" w:after="120"/>
        <w:ind w:left="1803"/>
        <w:jc w:val="left"/>
      </w:pPr>
      <w:r>
        <w:t>Director</w:t>
      </w:r>
      <w:r>
        <w:tab/>
      </w:r>
      <w:r>
        <w:tab/>
        <w:t>…………………………………</w:t>
      </w:r>
    </w:p>
    <w:p w14:paraId="7039786B" w14:textId="77777777" w:rsidR="009120F6" w:rsidRDefault="00942291">
      <w:pPr>
        <w:pBdr>
          <w:top w:val="nil"/>
          <w:left w:val="nil"/>
          <w:bottom w:val="nil"/>
          <w:right w:val="nil"/>
          <w:between w:val="nil"/>
        </w:pBdr>
        <w:spacing w:before="120" w:after="120"/>
        <w:ind w:left="1803"/>
        <w:jc w:val="left"/>
      </w:pPr>
      <w:r>
        <w:t>Signed</w:t>
      </w:r>
      <w:r>
        <w:tab/>
      </w:r>
      <w:r>
        <w:tab/>
        <w:t>…………………………………</w:t>
      </w:r>
    </w:p>
    <w:p w14:paraId="67CD8D11" w14:textId="77777777" w:rsidR="009120F6" w:rsidRDefault="00942291">
      <w:pPr>
        <w:pBdr>
          <w:top w:val="nil"/>
          <w:left w:val="nil"/>
          <w:bottom w:val="nil"/>
          <w:right w:val="nil"/>
          <w:between w:val="nil"/>
        </w:pBdr>
        <w:spacing w:before="120" w:after="120"/>
        <w:ind w:left="1803"/>
        <w:jc w:val="left"/>
      </w:pPr>
      <w:r>
        <w:t>Date</w:t>
      </w:r>
      <w:r>
        <w:tab/>
      </w:r>
      <w:r>
        <w:tab/>
        <w:t>…………………………………</w:t>
      </w:r>
    </w:p>
    <w:p w14:paraId="53A9AA1A" w14:textId="77777777" w:rsidR="009120F6" w:rsidRDefault="009120F6">
      <w:pPr>
        <w:spacing w:before="120" w:after="120"/>
        <w:jc w:val="left"/>
      </w:pPr>
      <w:bookmarkStart w:id="37" w:name="_heading=h.4i7ojhp" w:colFirst="0" w:colLast="0"/>
      <w:bookmarkEnd w:id="37"/>
    </w:p>
    <w:sectPr w:rsidR="009120F6">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5669E" w14:textId="77777777" w:rsidR="00A301F9" w:rsidRDefault="00A301F9">
      <w:pPr>
        <w:spacing w:after="0"/>
      </w:pPr>
      <w:r>
        <w:separator/>
      </w:r>
    </w:p>
  </w:endnote>
  <w:endnote w:type="continuationSeparator" w:id="0">
    <w:p w14:paraId="4E5FA4DB" w14:textId="77777777" w:rsidR="00A301F9" w:rsidRDefault="00A301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B2EE2" w14:textId="77777777" w:rsidR="009120F6" w:rsidRDefault="009120F6">
    <w:pPr>
      <w:tabs>
        <w:tab w:val="center" w:pos="4513"/>
        <w:tab w:val="right" w:pos="9026"/>
      </w:tabs>
      <w:spacing w:after="0"/>
      <w:rPr>
        <w:sz w:val="20"/>
        <w:szCs w:val="20"/>
      </w:rPr>
    </w:pPr>
  </w:p>
  <w:p w14:paraId="2A226CF8" w14:textId="77777777" w:rsidR="009120F6" w:rsidRDefault="00942291">
    <w:pPr>
      <w:tabs>
        <w:tab w:val="center" w:pos="4513"/>
        <w:tab w:val="right" w:pos="9026"/>
      </w:tabs>
      <w:spacing w:after="0"/>
      <w:rPr>
        <w:sz w:val="20"/>
        <w:szCs w:val="20"/>
      </w:rPr>
    </w:pPr>
    <w:r>
      <w:rPr>
        <w:sz w:val="20"/>
        <w:szCs w:val="20"/>
      </w:rPr>
      <w:t>Framework Ref: RM6380</w:t>
    </w:r>
    <w:r>
      <w:rPr>
        <w:sz w:val="20"/>
        <w:szCs w:val="20"/>
      </w:rPr>
      <w:tab/>
      <w:t xml:space="preserve">                                           </w:t>
    </w:r>
  </w:p>
  <w:p w14:paraId="05BB29E8" w14:textId="2D77EDC6" w:rsidR="009120F6" w:rsidRDefault="00942291">
    <w:pPr>
      <w:pBdr>
        <w:top w:val="nil"/>
        <w:left w:val="nil"/>
        <w:bottom w:val="nil"/>
        <w:right w:val="nil"/>
        <w:between w:val="nil"/>
      </w:pBdr>
      <w:tabs>
        <w:tab w:val="center" w:pos="4513"/>
        <w:tab w:val="right" w:pos="9026"/>
      </w:tabs>
      <w:spacing w:after="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8C112E">
      <w:rPr>
        <w:noProof/>
        <w:sz w:val="20"/>
        <w:szCs w:val="20"/>
      </w:rPr>
      <w:t>1</w:t>
    </w:r>
    <w:r>
      <w:rPr>
        <w:sz w:val="20"/>
        <w:szCs w:val="20"/>
      </w:rPr>
      <w:fldChar w:fldCharType="end"/>
    </w:r>
  </w:p>
  <w:p w14:paraId="78436B84" w14:textId="77777777" w:rsidR="009120F6" w:rsidRDefault="00942291">
    <w:pPr>
      <w:spacing w:after="0"/>
      <w:rPr>
        <w:sz w:val="20"/>
        <w:szCs w:val="20"/>
      </w:rPr>
    </w:pPr>
    <w:r>
      <w:rPr>
        <w:sz w:val="20"/>
        <w:szCs w:val="20"/>
      </w:rPr>
      <w:t>Model Version: v1.0 PA</w:t>
    </w:r>
    <w:r>
      <w:rPr>
        <w:sz w:val="20"/>
        <w:szCs w:val="20"/>
      </w:rPr>
      <w:tab/>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17BA" w14:textId="77777777" w:rsidR="009120F6" w:rsidRDefault="00942291">
    <w:pPr>
      <w:tabs>
        <w:tab w:val="center" w:pos="4513"/>
        <w:tab w:val="right" w:pos="9026"/>
      </w:tabs>
      <w:spacing w:after="0"/>
      <w:rPr>
        <w:color w:val="BFBFBF"/>
      </w:rPr>
    </w:pPr>
    <w:r>
      <w:rPr>
        <w:color w:val="BFBFBF"/>
      </w:rPr>
      <w:t>Framework Ref: RM</w:t>
    </w:r>
    <w:r>
      <w:rPr>
        <w:color w:val="BFBFBF"/>
      </w:rPr>
      <w:tab/>
      <w:t xml:space="preserve">                                           </w:t>
    </w:r>
  </w:p>
  <w:p w14:paraId="65983334" w14:textId="77777777" w:rsidR="009120F6" w:rsidRDefault="00942291">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1AF13CAB" w14:textId="77777777" w:rsidR="009120F6" w:rsidRDefault="00942291">
    <w:pPr>
      <w:spacing w:after="0"/>
      <w:rPr>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3D800" w14:textId="77777777" w:rsidR="00A301F9" w:rsidRDefault="00A301F9">
      <w:pPr>
        <w:spacing w:after="0"/>
      </w:pPr>
      <w:r>
        <w:separator/>
      </w:r>
    </w:p>
  </w:footnote>
  <w:footnote w:type="continuationSeparator" w:id="0">
    <w:p w14:paraId="7DFEA6B8" w14:textId="77777777" w:rsidR="00A301F9" w:rsidRDefault="00A301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5C463" w14:textId="77777777" w:rsidR="009120F6" w:rsidRDefault="00942291">
    <w:pPr>
      <w:pBdr>
        <w:top w:val="nil"/>
        <w:left w:val="nil"/>
        <w:bottom w:val="nil"/>
        <w:right w:val="nil"/>
        <w:between w:val="nil"/>
      </w:pBdr>
      <w:tabs>
        <w:tab w:val="center" w:pos="4513"/>
        <w:tab w:val="right" w:pos="9026"/>
      </w:tabs>
      <w:spacing w:after="0"/>
      <w:rPr>
        <w:sz w:val="22"/>
        <w:szCs w:val="22"/>
      </w:rPr>
    </w:pPr>
    <w:r>
      <w:rPr>
        <w:b/>
        <w:sz w:val="22"/>
        <w:szCs w:val="22"/>
      </w:rPr>
      <w:t>Joint Schedule 7 (Financial Difficulties)</w:t>
    </w:r>
  </w:p>
  <w:p w14:paraId="6CBBDDF5" w14:textId="77777777" w:rsidR="009120F6" w:rsidRDefault="00942291">
    <w:pPr>
      <w:pBdr>
        <w:top w:val="nil"/>
        <w:left w:val="nil"/>
        <w:bottom w:val="nil"/>
        <w:right w:val="nil"/>
        <w:between w:val="nil"/>
      </w:pBdr>
      <w:tabs>
        <w:tab w:val="center" w:pos="4513"/>
        <w:tab w:val="right" w:pos="9026"/>
      </w:tabs>
      <w:spacing w:after="0"/>
      <w:rPr>
        <w:sz w:val="22"/>
        <w:szCs w:val="22"/>
      </w:rPr>
    </w:pPr>
    <w:r>
      <w:rPr>
        <w:sz w:val="22"/>
        <w:szCs w:val="22"/>
      </w:rPr>
      <w:t>Crown Copyright 2025</w:t>
    </w:r>
  </w:p>
  <w:p w14:paraId="7E3EF197" w14:textId="77777777" w:rsidR="009120F6" w:rsidRDefault="009120F6">
    <w:pPr>
      <w:pBdr>
        <w:top w:val="nil"/>
        <w:left w:val="nil"/>
        <w:bottom w:val="nil"/>
        <w:right w:val="nil"/>
        <w:between w:val="nil"/>
      </w:pBdr>
      <w:tabs>
        <w:tab w:val="center" w:pos="4513"/>
        <w:tab w:val="right" w:pos="9026"/>
      </w:tabs>
      <w:spacing w:after="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747F1"/>
    <w:multiLevelType w:val="multilevel"/>
    <w:tmpl w:val="5876089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BA64A50"/>
    <w:multiLevelType w:val="multilevel"/>
    <w:tmpl w:val="4A26E380"/>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73154403"/>
    <w:multiLevelType w:val="multilevel"/>
    <w:tmpl w:val="D3BC48EE"/>
    <w:lvl w:ilvl="0">
      <w:start w:val="1"/>
      <w:numFmt w:val="decimal"/>
      <w:pStyle w:val="AnnexHeading"/>
      <w:lvlText w:val="%1."/>
      <w:lvlJc w:val="left"/>
      <w:pPr>
        <w:tabs>
          <w:tab w:val="num" w:pos="720"/>
        </w:tabs>
        <w:ind w:left="720" w:hanging="720"/>
      </w:pPr>
    </w:lvl>
    <w:lvl w:ilvl="1">
      <w:start w:val="1"/>
      <w:numFmt w:val="decimal"/>
      <w:pStyle w:val="Numbered11"/>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0F6"/>
    <w:rsid w:val="000152A2"/>
    <w:rsid w:val="001431BC"/>
    <w:rsid w:val="00295263"/>
    <w:rsid w:val="002C05A1"/>
    <w:rsid w:val="002E1EAB"/>
    <w:rsid w:val="00327055"/>
    <w:rsid w:val="003431EF"/>
    <w:rsid w:val="005B26D2"/>
    <w:rsid w:val="00680291"/>
    <w:rsid w:val="00886B4F"/>
    <w:rsid w:val="008C112E"/>
    <w:rsid w:val="009120F6"/>
    <w:rsid w:val="00942291"/>
    <w:rsid w:val="009532E7"/>
    <w:rsid w:val="00A301F9"/>
    <w:rsid w:val="00B57298"/>
    <w:rsid w:val="00BE72FD"/>
    <w:rsid w:val="00C250BE"/>
    <w:rsid w:val="00C617E9"/>
    <w:rsid w:val="00CA34C5"/>
    <w:rsid w:val="00CC74BA"/>
    <w:rsid w:val="00F05873"/>
    <w:rsid w:val="00FE76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F60C2"/>
  <w15:docId w15:val="{ECA3BB0E-39B2-43B8-B1F7-5ABCD7B11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paragraph" w:customStyle="1" w:styleId="StdBodyText">
    <w:name w:val="Std Body Text"/>
    <w:basedOn w:val="Normal"/>
    <w:uiPriority w:val="99"/>
    <w:qFormat/>
    <w:rsid w:val="00106E9B"/>
    <w:pPr>
      <w:overflowPunct/>
      <w:autoSpaceDE/>
      <w:autoSpaceDN/>
      <w:adjustRightInd/>
      <w:spacing w:before="100" w:after="200"/>
      <w:jc w:val="left"/>
      <w:textAlignment w:val="auto"/>
    </w:pPr>
    <w:rPr>
      <w:rFonts w:cs="Times New Roman"/>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cs="Times New Roman"/>
      <w:b/>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3"/>
      </w:numPr>
      <w:overflowPunct/>
      <w:autoSpaceDE/>
      <w:autoSpaceDN/>
      <w:adjustRightInd/>
      <w:spacing w:before="100" w:after="300"/>
      <w:jc w:val="center"/>
      <w:textAlignment w:val="auto"/>
    </w:pPr>
    <w:rPr>
      <w:rFonts w:ascii="Arial Bold" w:hAnsi="Arial Bold" w:cs="Times New Roman"/>
      <w:b/>
      <w:caps/>
    </w:rPr>
  </w:style>
  <w:style w:type="paragraph" w:customStyle="1" w:styleId="AppendixText1">
    <w:name w:val="Appendix Text 1"/>
    <w:basedOn w:val="Normal"/>
    <w:next w:val="StdBodyText1"/>
    <w:rsid w:val="006B02AC"/>
    <w:pPr>
      <w:tabs>
        <w:tab w:val="num" w:pos="720"/>
      </w:tabs>
      <w:overflowPunct/>
      <w:autoSpaceDE/>
      <w:autoSpaceDN/>
      <w:adjustRightInd/>
      <w:spacing w:before="100" w:after="200"/>
      <w:ind w:left="720" w:hanging="720"/>
      <w:jc w:val="left"/>
      <w:textAlignment w:val="auto"/>
    </w:pPr>
    <w:rPr>
      <w:rFonts w:cs="Times New Roman"/>
      <w:b/>
    </w:rPr>
  </w:style>
  <w:style w:type="paragraph" w:customStyle="1" w:styleId="AppendixText2">
    <w:name w:val="Appendix Text 2"/>
    <w:basedOn w:val="AppendixText1"/>
    <w:next w:val="Normal"/>
    <w:rsid w:val="006B02AC"/>
    <w:pPr>
      <w:numPr>
        <w:ilvl w:val="1"/>
      </w:numPr>
      <w:tabs>
        <w:tab w:val="num" w:pos="720"/>
      </w:tabs>
      <w:ind w:left="720" w:hanging="720"/>
    </w:pPr>
    <w:rPr>
      <w:b w:val="0"/>
    </w:rPr>
  </w:style>
  <w:style w:type="paragraph" w:customStyle="1" w:styleId="AppendixText3">
    <w:name w:val="Appendix Text 3"/>
    <w:basedOn w:val="Normal"/>
    <w:next w:val="Normal"/>
    <w:rsid w:val="006B02AC"/>
    <w:pPr>
      <w:numPr>
        <w:ilvl w:val="2"/>
        <w:numId w:val="4"/>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AppendixText4">
    <w:name w:val="Appendix Text 4"/>
    <w:basedOn w:val="Normal"/>
    <w:next w:val="Normal"/>
    <w:rsid w:val="006B02AC"/>
    <w:pPr>
      <w:numPr>
        <w:ilvl w:val="3"/>
        <w:numId w:val="4"/>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AppendixText5">
    <w:name w:val="Appendix Text 5"/>
    <w:basedOn w:val="Normal"/>
    <w:next w:val="Normal"/>
    <w:rsid w:val="006B02AC"/>
    <w:pPr>
      <w:numPr>
        <w:ilvl w:val="4"/>
        <w:numId w:val="4"/>
      </w:numPr>
      <w:tabs>
        <w:tab w:val="left" w:pos="720"/>
        <w:tab w:val="left" w:pos="2523"/>
      </w:tabs>
      <w:overflowPunct/>
      <w:autoSpaceDE/>
      <w:autoSpaceDN/>
      <w:adjustRightInd/>
      <w:spacing w:before="100" w:after="200"/>
      <w:jc w:val="left"/>
      <w:textAlignment w:val="auto"/>
    </w:pPr>
    <w:rPr>
      <w:rFonts w:cs="Times New Roman"/>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cs="Times New Roman"/>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paragraph" w:customStyle="1" w:styleId="Numbered1">
    <w:name w:val="Numbered 1"/>
    <w:qFormat/>
    <w:rsid w:val="00E06007"/>
    <w:pPr>
      <w:keepNext/>
      <w:keepLines/>
      <w:tabs>
        <w:tab w:val="num" w:pos="720"/>
      </w:tabs>
      <w:autoSpaceDE w:val="0"/>
      <w:autoSpaceDN w:val="0"/>
      <w:spacing w:before="100" w:after="200"/>
      <w:ind w:left="720" w:hanging="720"/>
      <w:jc w:val="left"/>
      <w:outlineLvl w:val="1"/>
    </w:pPr>
    <w:rPr>
      <w:b/>
      <w:bCs/>
      <w:color w:val="1F497D" w:themeColor="text2"/>
      <w:lang w:eastAsia="en-US" w:bidi="en-US"/>
    </w:rPr>
  </w:style>
  <w:style w:type="paragraph" w:customStyle="1" w:styleId="Numbered11">
    <w:name w:val="Numbered 1.1"/>
    <w:qFormat/>
    <w:rsid w:val="00E06007"/>
    <w:pPr>
      <w:widowControl w:val="0"/>
      <w:numPr>
        <w:ilvl w:val="1"/>
        <w:numId w:val="5"/>
      </w:numPr>
      <w:autoSpaceDE w:val="0"/>
      <w:autoSpaceDN w:val="0"/>
      <w:spacing w:before="100" w:after="200"/>
      <w:jc w:val="left"/>
      <w:outlineLvl w:val="2"/>
    </w:pPr>
    <w:rPr>
      <w:rFonts w:asciiTheme="minorHAnsi" w:hAnsiTheme="minorHAnsi" w:cstheme="minorHAnsi"/>
      <w:lang w:eastAsia="en-US" w:bidi="en-US"/>
    </w:rPr>
  </w:style>
  <w:style w:type="paragraph" w:customStyle="1" w:styleId="Numbered111">
    <w:name w:val="Numbered 1.1.1"/>
    <w:next w:val="Numbered111a"/>
    <w:qFormat/>
    <w:rsid w:val="00E06007"/>
    <w:pPr>
      <w:widowControl w:val="0"/>
      <w:tabs>
        <w:tab w:val="num" w:pos="2160"/>
      </w:tabs>
      <w:autoSpaceDE w:val="0"/>
      <w:autoSpaceDN w:val="0"/>
      <w:spacing w:before="100" w:after="200"/>
      <w:ind w:left="2160" w:hanging="720"/>
      <w:jc w:val="left"/>
    </w:pPr>
    <w:rPr>
      <w:lang w:eastAsia="en-US" w:bidi="en-US"/>
    </w:rPr>
  </w:style>
  <w:style w:type="paragraph" w:customStyle="1" w:styleId="Numbered111a">
    <w:name w:val="Numbered 1.1.1(a)"/>
    <w:qFormat/>
    <w:rsid w:val="00E06007"/>
    <w:pPr>
      <w:widowControl w:val="0"/>
      <w:tabs>
        <w:tab w:val="num" w:pos="2880"/>
      </w:tabs>
      <w:autoSpaceDE w:val="0"/>
      <w:autoSpaceDN w:val="0"/>
      <w:spacing w:before="100" w:after="200"/>
      <w:ind w:left="2880" w:hanging="720"/>
      <w:jc w:val="left"/>
    </w:pPr>
    <w:rPr>
      <w:lang w:eastAsia="en-US" w:bidi="en-US"/>
    </w:rPr>
  </w:style>
  <w:style w:type="paragraph" w:customStyle="1" w:styleId="Numbered111ai">
    <w:name w:val="Numbered 1.1.1(a)(i)"/>
    <w:basedOn w:val="ListParagraph"/>
    <w:qFormat/>
    <w:rsid w:val="00E06007"/>
    <w:pPr>
      <w:widowControl w:val="0"/>
      <w:tabs>
        <w:tab w:val="num" w:pos="360"/>
        <w:tab w:val="num" w:pos="3600"/>
      </w:tabs>
      <w:overflowPunct/>
      <w:adjustRightInd/>
      <w:spacing w:before="100" w:after="200"/>
      <w:contextualSpacing w:val="0"/>
      <w:jc w:val="left"/>
      <w:textAlignment w:val="auto"/>
    </w:pPr>
    <w:rPr>
      <w:rFonts w:asciiTheme="minorHAnsi" w:hAnsiTheme="minorHAnsi" w:cstheme="minorHAnsi"/>
      <w:lang w:eastAsia="en-US" w:bidi="en-US"/>
    </w:rPr>
  </w:style>
  <w:style w:type="paragraph" w:styleId="ListParagraph">
    <w:name w:val="List Paragraph"/>
    <w:basedOn w:val="Normal"/>
    <w:uiPriority w:val="34"/>
    <w:qFormat/>
    <w:rsid w:val="00E06007"/>
    <w:pPr>
      <w:ind w:left="720"/>
      <w:contextualSpacing/>
    </w:pPr>
  </w:style>
  <w:style w:type="table" w:customStyle="1" w:styleId="a4">
    <w:basedOn w:val="TableNormal"/>
    <w:pPr>
      <w:spacing w:after="0"/>
    </w:pPr>
    <w:rPr>
      <w:sz w:val="20"/>
      <w:szCs w:val="20"/>
    </w:rPr>
    <w:tblPr>
      <w:tblStyleRowBandSize w:val="1"/>
      <w:tblStyleColBandSize w:val="1"/>
    </w:tblPr>
  </w:style>
  <w:style w:type="table" w:customStyle="1" w:styleId="a5">
    <w:basedOn w:val="TableNormal"/>
    <w:pPr>
      <w:spacing w:after="0"/>
    </w:pPr>
    <w:rPr>
      <w:sz w:val="20"/>
      <w:szCs w:val="20"/>
    </w:rPr>
    <w:tblPr>
      <w:tblStyleRowBandSize w:val="1"/>
      <w:tblStyleColBandSize w:val="1"/>
    </w:tblPr>
  </w:style>
  <w:style w:type="table" w:customStyle="1" w:styleId="a6">
    <w:basedOn w:val="TableNormal"/>
    <w:pPr>
      <w:spacing w:after="0"/>
    </w:pPr>
    <w:rPr>
      <w:sz w:val="20"/>
      <w:szCs w:val="20"/>
    </w:rPr>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Pr>
  </w:style>
  <w:style w:type="table" w:customStyle="1" w:styleId="a9">
    <w:basedOn w:val="TableNormal"/>
    <w:pPr>
      <w:spacing w:after="0"/>
    </w:pPr>
    <w:rPr>
      <w:sz w:val="20"/>
      <w:szCs w:val="20"/>
    </w:rPr>
    <w:tblPr>
      <w:tblStyleRowBandSize w:val="1"/>
      <w:tblStyleColBandSize w:val="1"/>
    </w:tblPr>
  </w:style>
  <w:style w:type="table" w:customStyle="1" w:styleId="aa">
    <w:basedOn w:val="TableNormal"/>
    <w:pPr>
      <w:spacing w:after="0"/>
    </w:pPr>
    <w:rPr>
      <w:sz w:val="20"/>
      <w:szCs w:val="20"/>
    </w:rPr>
    <w:tblPr>
      <w:tblStyleRowBandSize w:val="1"/>
      <w:tblStyleColBandSize w:val="1"/>
    </w:tblPr>
  </w:style>
  <w:style w:type="table" w:customStyle="1" w:styleId="ab">
    <w:basedOn w:val="TableNormal"/>
    <w:pPr>
      <w:spacing w:after="0"/>
    </w:pPr>
    <w:rPr>
      <w:sz w:val="20"/>
      <w:szCs w:val="20"/>
    </w:rPr>
    <w:tblPr>
      <w:tblStyleRowBandSize w:val="1"/>
      <w:tblStyleColBandSize w:val="1"/>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iDKjP6bmaCPfT2TLG48EintUHw==">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5103</Words>
  <Characters>29090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34125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Matthew Stoltzer</cp:lastModifiedBy>
  <cp:revision>2</cp:revision>
  <dcterms:created xsi:type="dcterms:W3CDTF">2026-01-30T10:21:00Z</dcterms:created>
  <dcterms:modified xsi:type="dcterms:W3CDTF">2026-01-30T10:21:00Z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0x010100D917CB7B15B2604192F9A6A01BB658E6</vt:lpwstr>
  </property>
</Properties>
</file>